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4A37" w14:textId="77777777" w:rsidR="0013296B" w:rsidRPr="00CE2D8E" w:rsidRDefault="0013296B" w:rsidP="0013296B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0"/>
          <w:lang w:eastAsia="zh-CN"/>
        </w:rPr>
      </w:pPr>
      <w:bookmarkStart w:id="0" w:name="_Hlk109996364"/>
      <w:bookmarkStart w:id="1" w:name="_Hlk110595706"/>
      <w:bookmarkEnd w:id="0"/>
      <w:r w:rsidRPr="00CE2D8E">
        <w:rPr>
          <w:rFonts w:ascii="Times New Roman" w:eastAsia="Calibri" w:hAnsi="Times New Roman" w:cs="Times New Roman"/>
          <w:sz w:val="28"/>
          <w:szCs w:val="20"/>
          <w:lang w:eastAsia="zh-CN"/>
        </w:rPr>
        <w:t>ПРОЕКТ</w:t>
      </w:r>
    </w:p>
    <w:p w14:paraId="5DA7DD32" w14:textId="77777777" w:rsidR="0013296B" w:rsidRPr="00CE2D8E" w:rsidRDefault="0013296B" w:rsidP="0013296B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BDDB05E" w14:textId="77777777" w:rsidR="0013296B" w:rsidRPr="00CE2D8E" w:rsidRDefault="0013296B" w:rsidP="0013296B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34"/>
          <w:szCs w:val="34"/>
        </w:rPr>
      </w:pPr>
      <w:r w:rsidRPr="00CE2D8E">
        <w:rPr>
          <w:rFonts w:ascii="Times New Roman" w:eastAsia="Calibri" w:hAnsi="Times New Roman" w:cs="Times New Roman"/>
          <w:b/>
          <w:bCs/>
          <w:sz w:val="34"/>
          <w:szCs w:val="34"/>
        </w:rPr>
        <w:t xml:space="preserve">АДМИНИСТРАЦИЯ </w:t>
      </w:r>
      <w:r w:rsidRPr="00CE2D8E">
        <w:rPr>
          <w:rFonts w:ascii="Times New Roman" w:eastAsia="Calibri" w:hAnsi="Times New Roman" w:cs="Times New Roman"/>
          <w:b/>
          <w:sz w:val="34"/>
          <w:szCs w:val="34"/>
        </w:rPr>
        <w:t>КУРСКОЙ ОБЛАСТИ</w:t>
      </w:r>
    </w:p>
    <w:p w14:paraId="52C3BA86" w14:textId="77777777" w:rsidR="0013296B" w:rsidRPr="00CE2D8E" w:rsidRDefault="0013296B" w:rsidP="0013296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80"/>
          <w:lang w:bidi="ru-RU"/>
        </w:rPr>
      </w:pPr>
    </w:p>
    <w:p w14:paraId="39D77F3F" w14:textId="77777777" w:rsidR="0013296B" w:rsidRPr="00CE2D8E" w:rsidRDefault="0013296B" w:rsidP="0013296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pacing w:val="40"/>
          <w:sz w:val="30"/>
          <w:szCs w:val="30"/>
        </w:rPr>
      </w:pPr>
      <w:r w:rsidRPr="00CE2D8E">
        <w:rPr>
          <w:rFonts w:ascii="Times New Roman" w:eastAsia="Calibri" w:hAnsi="Times New Roman" w:cs="Times New Roman"/>
          <w:bCs/>
          <w:color w:val="000000"/>
          <w:spacing w:val="40"/>
          <w:sz w:val="30"/>
          <w:szCs w:val="30"/>
          <w:lang w:bidi="ru-RU"/>
        </w:rPr>
        <w:t>ПОСТАНОВЛЕНИЕ</w:t>
      </w:r>
    </w:p>
    <w:p w14:paraId="1B396230" w14:textId="77777777" w:rsidR="0013296B" w:rsidRPr="00CE2D8E" w:rsidRDefault="0013296B" w:rsidP="0013296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zh-CN"/>
        </w:rPr>
      </w:pPr>
    </w:p>
    <w:p w14:paraId="03789E2A" w14:textId="77777777" w:rsidR="0013296B" w:rsidRPr="00CE2D8E" w:rsidRDefault="0013296B" w:rsidP="0013296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E2D8E">
        <w:rPr>
          <w:rFonts w:ascii="Times New Roman" w:eastAsia="Calibri" w:hAnsi="Times New Roman" w:cs="Times New Roman"/>
          <w:sz w:val="26"/>
          <w:szCs w:val="26"/>
        </w:rPr>
        <w:t>от ______________</w:t>
      </w:r>
      <w:proofErr w:type="gramStart"/>
      <w:r w:rsidRPr="00CE2D8E">
        <w:rPr>
          <w:rFonts w:ascii="Times New Roman" w:eastAsia="Calibri" w:hAnsi="Times New Roman" w:cs="Times New Roman"/>
          <w:sz w:val="26"/>
          <w:szCs w:val="26"/>
        </w:rPr>
        <w:t>_  №</w:t>
      </w:r>
      <w:proofErr w:type="gramEnd"/>
      <w:r w:rsidRPr="00CE2D8E">
        <w:rPr>
          <w:rFonts w:ascii="Times New Roman" w:eastAsia="Calibri" w:hAnsi="Times New Roman" w:cs="Times New Roman"/>
          <w:sz w:val="26"/>
          <w:szCs w:val="26"/>
        </w:rPr>
        <w:t xml:space="preserve"> ______________</w:t>
      </w:r>
    </w:p>
    <w:p w14:paraId="455852C0" w14:textId="77777777" w:rsidR="0013296B" w:rsidRPr="00CE2D8E" w:rsidRDefault="0013296B" w:rsidP="0013296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686B7101" w14:textId="77777777" w:rsidR="0013296B" w:rsidRPr="00CE2D8E" w:rsidRDefault="0013296B" w:rsidP="0013296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zh-CN"/>
        </w:rPr>
      </w:pPr>
      <w:r w:rsidRPr="00CE2D8E">
        <w:rPr>
          <w:rFonts w:ascii="Times New Roman" w:eastAsia="Calibri" w:hAnsi="Times New Roman" w:cs="Times New Roman"/>
          <w:sz w:val="26"/>
          <w:szCs w:val="26"/>
        </w:rPr>
        <w:t>г. Курск</w:t>
      </w:r>
    </w:p>
    <w:p w14:paraId="7CDB2AB8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F02E29B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Генеральный план </w:t>
      </w:r>
    </w:p>
    <w:p w14:paraId="2CBC47A0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«Лебяженский сельсовет» </w:t>
      </w:r>
    </w:p>
    <w:p w14:paraId="4E148D95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Курского района Курской области</w:t>
      </w:r>
    </w:p>
    <w:p w14:paraId="05885969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DAC12C" w14:textId="77777777" w:rsidR="0013296B" w:rsidRPr="00CE2D8E" w:rsidRDefault="0013296B" w:rsidP="001329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319F63" w14:textId="77777777" w:rsidR="0013296B" w:rsidRPr="00CE2D8E" w:rsidRDefault="0013296B" w:rsidP="001329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</w:t>
      </w: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Администрация Курской области ПОСТАНОВЛЯЕТ:</w:t>
      </w:r>
    </w:p>
    <w:p w14:paraId="2BBC49BF" w14:textId="77777777" w:rsidR="0013296B" w:rsidRPr="00CE2D8E" w:rsidRDefault="0013296B" w:rsidP="001329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«Лебяженский сельсовет» Курского района Курской области, утвержденный решением Собрания народных депутатов муниципального образования «Лебяженский сельсовет» Курского района Курской области от 31.12.2013 № 94-5-25.</w:t>
      </w:r>
    </w:p>
    <w:p w14:paraId="7165E160" w14:textId="77777777" w:rsidR="0013296B" w:rsidRPr="00CE2D8E" w:rsidRDefault="0013296B" w:rsidP="0013296B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41A88" w14:textId="77777777" w:rsidR="0013296B" w:rsidRPr="00CE2D8E" w:rsidRDefault="0013296B" w:rsidP="0013296B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FABA96" w14:textId="77777777" w:rsidR="0013296B" w:rsidRPr="00CE2D8E" w:rsidRDefault="0013296B" w:rsidP="0013296B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</w:t>
      </w:r>
    </w:p>
    <w:p w14:paraId="07D4C49E" w14:textId="77777777" w:rsidR="0013296B" w:rsidRPr="00CE2D8E" w:rsidRDefault="0013296B" w:rsidP="0013296B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Курской области                                                            </w:t>
      </w:r>
      <w:bookmarkStart w:id="2" w:name="P1561"/>
      <w:bookmarkStart w:id="3" w:name="P1562"/>
      <w:bookmarkStart w:id="4" w:name="P1568"/>
      <w:bookmarkStart w:id="5" w:name="P1569"/>
      <w:bookmarkStart w:id="6" w:name="P1590"/>
      <w:bookmarkStart w:id="7" w:name="P1591"/>
      <w:bookmarkStart w:id="8" w:name="P1598"/>
      <w:bookmarkStart w:id="9" w:name="P1599"/>
      <w:bookmarkStart w:id="10" w:name="P1610"/>
      <w:bookmarkStart w:id="11" w:name="P1615"/>
      <w:bookmarkStart w:id="12" w:name="P1626"/>
      <w:bookmarkStart w:id="13" w:name="P1629"/>
      <w:bookmarkStart w:id="14" w:name="P1636"/>
      <w:bookmarkStart w:id="15" w:name="P1651"/>
      <w:bookmarkStart w:id="16" w:name="P1673"/>
      <w:bookmarkStart w:id="17" w:name="P1680"/>
      <w:bookmarkStart w:id="18" w:name="P1701"/>
      <w:bookmarkStart w:id="19" w:name="P1705"/>
      <w:bookmarkStart w:id="20" w:name="P1709"/>
      <w:bookmarkStart w:id="21" w:name="P1714"/>
      <w:bookmarkStart w:id="22" w:name="P1719"/>
      <w:bookmarkStart w:id="23" w:name="P110"/>
      <w:bookmarkStart w:id="24" w:name="P47"/>
      <w:bookmarkStart w:id="25" w:name="P53"/>
      <w:bookmarkStart w:id="26" w:name="P56"/>
      <w:bookmarkStart w:id="27" w:name="P58"/>
      <w:bookmarkStart w:id="28" w:name="P59"/>
      <w:bookmarkStart w:id="29" w:name="P62"/>
      <w:bookmarkStart w:id="30" w:name="P119"/>
      <w:bookmarkStart w:id="31" w:name="P1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Р. </w:t>
      </w:r>
      <w:proofErr w:type="spellStart"/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Старовойт</w:t>
      </w:r>
      <w:proofErr w:type="spellEnd"/>
    </w:p>
    <w:p w14:paraId="088796C0" w14:textId="77777777" w:rsidR="0013296B" w:rsidRPr="00CE2D8E" w:rsidRDefault="0013296B" w:rsidP="0013296B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AF03D0" w14:textId="77777777" w:rsidR="0013296B" w:rsidRPr="00CE2D8E" w:rsidRDefault="0013296B" w:rsidP="0013296B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14:paraId="59322804" w14:textId="77777777" w:rsidR="0013296B" w:rsidRPr="00CE2D8E" w:rsidRDefault="0013296B" w:rsidP="0013296B">
      <w:pPr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Calibri" w:hAnsi="Times New Roman" w:cs="Times New Roman"/>
        </w:rPr>
        <w:br w:type="column"/>
      </w: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7435F90B" w14:textId="77777777" w:rsidR="0013296B" w:rsidRPr="00CE2D8E" w:rsidRDefault="0013296B" w:rsidP="0013296B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55A001CC" w14:textId="77777777" w:rsidR="0013296B" w:rsidRPr="00CE2D8E" w:rsidRDefault="0013296B" w:rsidP="0013296B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14:paraId="7671D10A" w14:textId="77777777" w:rsidR="0013296B" w:rsidRPr="00CE2D8E" w:rsidRDefault="0013296B" w:rsidP="0013296B">
      <w:pPr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______________№_____</w:t>
      </w:r>
    </w:p>
    <w:p w14:paraId="076D55FC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886703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E495FC" w14:textId="77777777" w:rsidR="0013296B" w:rsidRPr="00CE2D8E" w:rsidRDefault="0013296B" w:rsidP="0013296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235AD1B8" w14:textId="77777777" w:rsidR="0013296B" w:rsidRPr="00CE2D8E" w:rsidRDefault="0013296B" w:rsidP="00132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которые вносятся в Генеральный план муниципального образования «Лебяженский сельсовет» Курского района Курской области,</w:t>
      </w:r>
      <w:r w:rsidRPr="00CE2D8E">
        <w:rPr>
          <w:rFonts w:ascii="Times New Roman" w:eastAsia="Calibri" w:hAnsi="Times New Roman" w:cs="Times New Roman"/>
        </w:rPr>
        <w:t xml:space="preserve"> </w:t>
      </w: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утвержденный решением Собрания народных депутатов муниципального образования «Лебяженский сельсовет» </w:t>
      </w:r>
      <w:r w:rsidRPr="00CE2D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Курского района Курской области от 31.12.2013 № 94-5-25</w:t>
      </w:r>
    </w:p>
    <w:p w14:paraId="6E2C4C58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9B744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3. В 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3C7889BD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1) в разделе «1 ВВЕДЕНИЕ»:</w:t>
      </w:r>
    </w:p>
    <w:p w14:paraId="7748EFEC" w14:textId="77777777" w:rsidR="0013296B" w:rsidRPr="00CE2D8E" w:rsidRDefault="0013296B" w:rsidP="001329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а) подраздел 1.1 «Цель и основные задачи разработки раздела «Перечень и характеристика основных факторов риска возникновения чрезвычайных ситуаций природного и техногенного характера» изложить в следующей редакции:</w:t>
      </w:r>
    </w:p>
    <w:p w14:paraId="44292FE3" w14:textId="77777777" w:rsidR="0013296B" w:rsidRPr="00CE2D8E" w:rsidRDefault="0013296B" w:rsidP="0013296B">
      <w:pPr>
        <w:keepNext/>
        <w:tabs>
          <w:tab w:val="left" w:pos="511"/>
          <w:tab w:val="left" w:pos="864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«Цель разработки раздела «Перечень и характеристика 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 «Лебяженский сельсовет» Курского района Курской области </w:t>
      </w:r>
      <w:r w:rsidRPr="00CE2D8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CE2D8E">
        <w:rPr>
          <w:rFonts w:ascii="Times New Roman" w:hAnsi="Times New Roman" w:cs="Times New Roman"/>
          <w:sz w:val="28"/>
          <w:szCs w:val="28"/>
        </w:rPr>
        <w:t xml:space="preserve">анализ основных опасностей и рисков на территории сельсовета и факторов их возникновения. </w:t>
      </w:r>
    </w:p>
    <w:p w14:paraId="7B1EFABE" w14:textId="77777777" w:rsidR="0013296B" w:rsidRPr="00CE2D8E" w:rsidRDefault="0013296B" w:rsidP="00132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Основной задачей при разработке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безопасности,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безопасности.»;</w:t>
      </w:r>
    </w:p>
    <w:p w14:paraId="6E863EB6" w14:textId="77777777" w:rsidR="0013296B" w:rsidRPr="00CE2D8E" w:rsidRDefault="0013296B" w:rsidP="00132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б) подраздел 1.2 «Перечень нормативных актов, нормативно-технических и иных документов, использованных при разработке раздела» изложить в следующей редакции:</w:t>
      </w:r>
    </w:p>
    <w:p w14:paraId="2F20B757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СП 165.1325800.2014 «СНиП 2.01.51-90 Инженерно-технические мероприятия гражданской обороны»;</w:t>
      </w:r>
    </w:p>
    <w:p w14:paraId="15265BC0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СП 88.13330.2014 «СНиП II-11-77* Защитные сооружения гражданской обороны»;</w:t>
      </w:r>
    </w:p>
    <w:p w14:paraId="7B9A91BD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 xml:space="preserve">СП 264.1325800.2016 «СНиП 2.01.53-84 Световая маскировка </w:t>
      </w:r>
      <w:r w:rsidRPr="00CE2D8E">
        <w:rPr>
          <w:rFonts w:ascii="Times New Roman" w:hAnsi="Times New Roman"/>
          <w:sz w:val="28"/>
          <w:szCs w:val="28"/>
        </w:rPr>
        <w:lastRenderedPageBreak/>
        <w:t xml:space="preserve">населенных пунктов и объектов народного хозяйства»; </w:t>
      </w:r>
    </w:p>
    <w:p w14:paraId="73D5FA51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СП 32.13330.2018 «СНиП 2.04.03-85 Канализация. Наружные сети и сооружения»;</w:t>
      </w:r>
    </w:p>
    <w:p w14:paraId="72F0DC99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СП 42.13330.2016 «СНиП 2.07.01-89* Градостроительство. Планировка и застройка городских и сельских поселений»;</w:t>
      </w:r>
    </w:p>
    <w:p w14:paraId="1D4BDE6F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СП 104.13330.2016 «СНиП 2.06.15-85 Инженерная защита территории от затопления и подтопления. Актуализированная редакция»;</w:t>
      </w:r>
    </w:p>
    <w:p w14:paraId="02A0FDC1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 xml:space="preserve">СП 116.13330.2012 «СНиП 22-02-2003 Инженерная защита территорий, зданий и сооружений от опасных геологических процессов. Основные положения проектирования»; </w:t>
      </w:r>
    </w:p>
    <w:p w14:paraId="753375C7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СП 94.13330.2016 «СНиП 2.01.57-85 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автотранспорта»;</w:t>
      </w:r>
    </w:p>
    <w:p w14:paraId="523A5AFD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ведомственные строительные нормы ВСН ВК 4-90 «Инструкция по подготовке и работе систем хозяйственно-питьевого водоснабжения в чрезвычайных ситуациях»;</w:t>
      </w:r>
    </w:p>
    <w:p w14:paraId="23C18AE2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 xml:space="preserve">«Положение о системах оповещения населения», утверждённое совместным приказом МЧС России, </w:t>
      </w:r>
      <w:proofErr w:type="spellStart"/>
      <w:r w:rsidRPr="00CE2D8E">
        <w:rPr>
          <w:rFonts w:ascii="Times New Roman" w:hAnsi="Times New Roman"/>
          <w:sz w:val="28"/>
          <w:szCs w:val="28"/>
        </w:rPr>
        <w:t>Минцифры</w:t>
      </w:r>
      <w:proofErr w:type="spellEnd"/>
      <w:r w:rsidRPr="00CE2D8E">
        <w:rPr>
          <w:rFonts w:ascii="Times New Roman" w:hAnsi="Times New Roman"/>
          <w:sz w:val="28"/>
          <w:szCs w:val="28"/>
        </w:rPr>
        <w:t xml:space="preserve"> России от 31.07.2020 № 578/365;</w:t>
      </w:r>
    </w:p>
    <w:p w14:paraId="52F9B3F3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«Технический регламент о требованиях пожарной безопасности», утверждённый Федеральным законом Российской Федерации от 22.07.2008 № 123-ФЗ;</w:t>
      </w:r>
    </w:p>
    <w:p w14:paraId="507965CA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«Правила эвакуации населения, материальных и культурных ценностей в безопасные районы», утвержденные постановлением Правительства Российской Федерации от 22.06.2004 № 303ДСП;</w:t>
      </w:r>
    </w:p>
    <w:p w14:paraId="5C42E187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«Порядок создания убежищ и иных объектов гражданской обороны», утверждённый постановлением Правительства Российской Федерации от 29.11.1999 № 1309;</w:t>
      </w:r>
    </w:p>
    <w:p w14:paraId="0CD2EE82" w14:textId="77777777" w:rsidR="0013296B" w:rsidRPr="00CE2D8E" w:rsidRDefault="0013296B" w:rsidP="0013296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«Методические рекомендации по разработке проектов генеральных планов поселений и городских округов», утвержденные приказом Минрегионразвития Российской Федерации от 26.05.2011 № 244.»;</w:t>
      </w:r>
    </w:p>
    <w:p w14:paraId="1314AB60" w14:textId="77777777" w:rsidR="0013296B" w:rsidRPr="00CE2D8E" w:rsidRDefault="0013296B" w:rsidP="0013296B">
      <w:pPr>
        <w:pStyle w:val="a5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2) в разделе 2 «Краткое описание территории муниципального образования, условий, и инфраструктуры, формирующих факторы риска возникновения чрезвычайных ситуаций»:</w:t>
      </w:r>
    </w:p>
    <w:p w14:paraId="1AFF338E" w14:textId="77777777" w:rsidR="0013296B" w:rsidRPr="00CE2D8E" w:rsidRDefault="0013296B" w:rsidP="0013296B">
      <w:pPr>
        <w:pStyle w:val="a5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hAnsi="Times New Roman"/>
          <w:sz w:val="28"/>
          <w:szCs w:val="28"/>
        </w:rPr>
        <w:t>подраздел 2.1 «Топографо-геодезические условия» дополнить восьмым и девятым абзацами следующего содержания:</w:t>
      </w:r>
    </w:p>
    <w:p w14:paraId="4B699278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«Территория Лебяженского сельсовета не отнесена к группе по ГО.</w:t>
      </w:r>
    </w:p>
    <w:p w14:paraId="2C24F52A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Территория Лебяженского сельсовета расположена более чем в 31 км восточнее территории г. Курчатов, и граничит с северной стороны с территорией г. Курск, отнесённых к группам по ГО.»;</w:t>
      </w:r>
    </w:p>
    <w:p w14:paraId="20DE117E" w14:textId="77777777" w:rsidR="0013296B" w:rsidRPr="00CE2D8E" w:rsidRDefault="0013296B" w:rsidP="0013296B">
      <w:pPr>
        <w:pStyle w:val="a7"/>
        <w:widowControl w:val="0"/>
        <w:ind w:left="0" w:firstLine="709"/>
        <w:jc w:val="both"/>
        <w:rPr>
          <w:b w:val="0"/>
          <w:szCs w:val="28"/>
        </w:rPr>
      </w:pPr>
      <w:r w:rsidRPr="00CE2D8E">
        <w:rPr>
          <w:b w:val="0"/>
          <w:szCs w:val="28"/>
        </w:rPr>
        <w:t>3) в разделе 4 «</w:t>
      </w:r>
      <w:r w:rsidRPr="00CE2D8E">
        <w:rPr>
          <w:b w:val="0"/>
          <w:snapToGrid w:val="0"/>
          <w:szCs w:val="28"/>
        </w:rPr>
        <w:t>Оценка потенциальной опасности существующих и планируемых для размещения объектов местного значения, проектируемой территории</w:t>
      </w:r>
      <w:r w:rsidRPr="00CE2D8E">
        <w:rPr>
          <w:b w:val="0"/>
          <w:szCs w:val="28"/>
        </w:rPr>
        <w:t>»:</w:t>
      </w:r>
    </w:p>
    <w:p w14:paraId="0251E253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bCs/>
          <w:sz w:val="28"/>
          <w:szCs w:val="28"/>
        </w:rPr>
        <w:t xml:space="preserve">а) подраздел 4.1 «Оценка потенциальной опасности источников чрезвычайных ситуаций техногенного характера на территории МО </w:t>
      </w:r>
      <w:r w:rsidRPr="00CE2D8E">
        <w:rPr>
          <w:rFonts w:ascii="Times New Roman" w:hAnsi="Times New Roman" w:cs="Times New Roman"/>
          <w:bCs/>
          <w:sz w:val="28"/>
          <w:szCs w:val="28"/>
        </w:rPr>
        <w:lastRenderedPageBreak/>
        <w:t>«Лебяженский сельсовет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»» </w:t>
      </w:r>
      <w:r w:rsidRPr="00CE2D8E">
        <w:rPr>
          <w:rFonts w:ascii="Times New Roman" w:hAnsi="Times New Roman" w:cs="Times New Roman"/>
          <w:bCs/>
          <w:sz w:val="28"/>
          <w:szCs w:val="28"/>
        </w:rPr>
        <w:t>дополнить абзацем следующего содержания:</w:t>
      </w:r>
    </w:p>
    <w:p w14:paraId="1A642B93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bCs/>
          <w:sz w:val="28"/>
          <w:szCs w:val="28"/>
        </w:rPr>
        <w:t>«</w:t>
      </w:r>
      <w:bookmarkStart w:id="32" w:name="_Hlk98845141"/>
      <w:bookmarkStart w:id="33" w:name="_Hlk98858178"/>
      <w:r w:rsidRPr="00CE2D8E">
        <w:rPr>
          <w:rFonts w:ascii="Times New Roman" w:hAnsi="Times New Roman" w:cs="Times New Roman"/>
          <w:sz w:val="28"/>
          <w:szCs w:val="28"/>
        </w:rPr>
        <w:t>Показатель приемлемого риска возникновения техногенных ЧС составляет 1,4х10</w:t>
      </w:r>
      <w:r w:rsidRPr="00CE2D8E">
        <w:rPr>
          <w:rFonts w:ascii="Times New Roman" w:hAnsi="Times New Roman" w:cs="Times New Roman"/>
          <w:sz w:val="28"/>
          <w:szCs w:val="28"/>
          <w:vertAlign w:val="superscript"/>
        </w:rPr>
        <w:noBreakHyphen/>
        <w:t>5</w:t>
      </w:r>
      <w:r w:rsidRPr="00CE2D8E">
        <w:rPr>
          <w:rFonts w:ascii="Times New Roman" w:hAnsi="Times New Roman" w:cs="Times New Roman"/>
          <w:sz w:val="28"/>
          <w:szCs w:val="28"/>
        </w:rPr>
        <w:t>, уровень условно-приемлемого риска (аварии на системах и объектах жизнеобеспечения).</w:t>
      </w:r>
      <w:bookmarkEnd w:id="32"/>
      <w:bookmarkEnd w:id="33"/>
      <w:r w:rsidRPr="00CE2D8E">
        <w:rPr>
          <w:rFonts w:ascii="Times New Roman" w:hAnsi="Times New Roman" w:cs="Times New Roman"/>
          <w:sz w:val="28"/>
          <w:szCs w:val="28"/>
        </w:rPr>
        <w:t>»;</w:t>
      </w:r>
    </w:p>
    <w:p w14:paraId="0FE85A55" w14:textId="77777777" w:rsidR="0013296B" w:rsidRPr="00CE2D8E" w:rsidRDefault="0013296B" w:rsidP="0013296B">
      <w:pPr>
        <w:pStyle w:val="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б) абзац второй подраздела «II. Разгерметизация емкостей с АХОВ»</w:t>
      </w:r>
      <w:r w:rsidRPr="00CE2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2D8E">
        <w:rPr>
          <w:rFonts w:ascii="Times New Roman" w:hAnsi="Times New Roman" w:cs="Times New Roman"/>
          <w:bCs/>
          <w:sz w:val="28"/>
          <w:szCs w:val="28"/>
        </w:rPr>
        <w:t>подраздела 4.1 «Оценка потенциальной опасности источников чрезвычайных ситуаций техногенного характера на территории МО «Лебяженский сельсовет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»» </w:t>
      </w:r>
      <w:r w:rsidRPr="00CE2D8E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5FDE34A3" w14:textId="77777777" w:rsidR="0013296B" w:rsidRPr="00CE2D8E" w:rsidRDefault="0013296B" w:rsidP="0013296B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bCs/>
          <w:sz w:val="28"/>
          <w:szCs w:val="28"/>
        </w:rPr>
        <w:t>«</w:t>
      </w:r>
      <w:r w:rsidRPr="00CE2D8E">
        <w:rPr>
          <w:rFonts w:ascii="Times New Roman" w:hAnsi="Times New Roman" w:cs="Times New Roman"/>
          <w:sz w:val="28"/>
          <w:szCs w:val="28"/>
        </w:rPr>
        <w:t xml:space="preserve">автомобильная дорога «Юго-восточный обход г. Курска» соединяющий две автомобильной дороги федерального значения М-2 «Крым» и Р-298 «Курск – Воронеж – автомобильная дорога Р-22 «Каспий», по которой возможна перевозка </w:t>
      </w:r>
      <w:proofErr w:type="spellStart"/>
      <w:r w:rsidRPr="00CE2D8E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химически опасных веществ (АХОВ), аммиак, в 6 т контейнерах;</w:t>
      </w:r>
    </w:p>
    <w:p w14:paraId="6A962F2C" w14:textId="77777777" w:rsidR="0013296B" w:rsidRPr="00CE2D8E" w:rsidRDefault="0013296B" w:rsidP="0013296B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железные дороги «Москва – Курск – Харьков», «Киев – Льгов –Курск – Касторная – Воронеж», по которым возможна транспортировка </w:t>
      </w:r>
      <w:proofErr w:type="spellStart"/>
      <w:r w:rsidRPr="00CE2D8E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химически опасных веществ (АХОВ) хлор, аммиак в 57 т цистернах.»;</w:t>
      </w:r>
    </w:p>
    <w:p w14:paraId="1E9CA2A6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в) абзац первый подраздела «</w:t>
      </w:r>
      <w:r w:rsidRPr="00CE2D8E">
        <w:rPr>
          <w:rFonts w:ascii="Times New Roman" w:hAnsi="Times New Roman" w:cs="Times New Roman"/>
          <w:snapToGrid w:val="0"/>
          <w:sz w:val="28"/>
          <w:szCs w:val="28"/>
        </w:rPr>
        <w:t>III. Аварии с ГСМ и СУГ на ближайших транспортных магистралях, нефтебазах и АЗС»</w:t>
      </w:r>
      <w:r w:rsidRPr="00CE2D8E">
        <w:rPr>
          <w:snapToGrid w:val="0"/>
          <w:sz w:val="28"/>
          <w:szCs w:val="28"/>
        </w:rPr>
        <w:t xml:space="preserve"> </w:t>
      </w:r>
      <w:r w:rsidRPr="00CE2D8E">
        <w:rPr>
          <w:rFonts w:ascii="Times New Roman" w:hAnsi="Times New Roman" w:cs="Times New Roman"/>
          <w:bCs/>
          <w:sz w:val="28"/>
          <w:szCs w:val="28"/>
        </w:rPr>
        <w:t>подраздела 4.1 «Оценка потенциальной опасности источников чрезвычайных ситуаций техногенного характера на территории МО «Лебяженский сельсовет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»» </w:t>
      </w:r>
      <w:r w:rsidRPr="00CE2D8E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7A1870D9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b/>
          <w:sz w:val="28"/>
          <w:szCs w:val="28"/>
        </w:rPr>
        <w:t xml:space="preserve"> «</w:t>
      </w:r>
      <w:bookmarkStart w:id="34" w:name="_Hlk98858346"/>
      <w:bookmarkStart w:id="35" w:name="_Hlk98845864"/>
      <w:r w:rsidRPr="00CE2D8E">
        <w:rPr>
          <w:rFonts w:ascii="Times New Roman" w:hAnsi="Times New Roman" w:cs="Times New Roman"/>
          <w:sz w:val="28"/>
          <w:szCs w:val="28"/>
        </w:rPr>
        <w:t>По территории сельсовета проходит автомобильная дорога «Юго-восточный обход г. Курска» соединяющий две автомобильной дороги федерального значения М-2 «Крым» и Р-298 «Курск – Воронеж –автомобильная дорога Р-22 «Каспий», по которой возможна перевозка ГСМ в автоцистернах – 16300 литров, СУГ в автоцистернах емкостью 8, 10, 11, 20 м</w:t>
      </w:r>
      <w:r w:rsidRPr="00CE2D8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E2D8E">
        <w:rPr>
          <w:rFonts w:ascii="Times New Roman" w:hAnsi="Times New Roman" w:cs="Times New Roman"/>
          <w:sz w:val="28"/>
          <w:szCs w:val="28"/>
        </w:rPr>
        <w:t xml:space="preserve"> и другие вещества, железные дороги «Москва – Курск –Харьков», «Киев – Льгов –</w:t>
      </w:r>
      <w:r w:rsidRPr="00CE2D8E">
        <w:rPr>
          <w:rFonts w:ascii="Times New Roman" w:hAnsi="Times New Roman" w:cs="Times New Roman"/>
        </w:rPr>
        <w:t xml:space="preserve"> </w:t>
      </w:r>
      <w:r w:rsidRPr="00CE2D8E">
        <w:rPr>
          <w:rFonts w:ascii="Times New Roman" w:hAnsi="Times New Roman" w:cs="Times New Roman"/>
          <w:sz w:val="28"/>
          <w:szCs w:val="28"/>
        </w:rPr>
        <w:t>Курск – Касторная – Воронеж», по которым возможна транспортировка ГСМ в ж/д цистернах – 57 т, СУГ в цистернах емкостью 40,5 т и другие вещества. В качестве наиболее вероятных аварийных ситуаций на транспортных магистралях, которые могут привести к возникновению поражающих факторов, в подразделе рассмотрены:»;</w:t>
      </w:r>
    </w:p>
    <w:p w14:paraId="16AE3E07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г) абзац первый подраздела «</w:t>
      </w:r>
      <w:r w:rsidRPr="00CE2D8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E2D8E">
        <w:rPr>
          <w:rFonts w:ascii="Times New Roman" w:hAnsi="Times New Roman" w:cs="Times New Roman"/>
          <w:snapToGrid w:val="0"/>
          <w:sz w:val="28"/>
          <w:szCs w:val="28"/>
        </w:rPr>
        <w:t xml:space="preserve">. Оценка возможного ущерба в результате аварий на объектах газового хозяйства» </w:t>
      </w:r>
      <w:r w:rsidRPr="00CE2D8E">
        <w:rPr>
          <w:rFonts w:ascii="Times New Roman" w:hAnsi="Times New Roman" w:cs="Times New Roman"/>
          <w:bCs/>
          <w:sz w:val="28"/>
          <w:szCs w:val="28"/>
        </w:rPr>
        <w:t>подраздела 4.1 «Оценка потенциальной опасности источников чрезвычайных ситуаций техногенного характера на территории МО «Лебяженский сельсовет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»» </w:t>
      </w:r>
      <w:r w:rsidRPr="00CE2D8E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358E5C80" w14:textId="77777777" w:rsidR="0013296B" w:rsidRPr="00CE2D8E" w:rsidRDefault="0013296B" w:rsidP="0013296B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2D8E">
        <w:rPr>
          <w:rFonts w:ascii="Times New Roman" w:hAnsi="Times New Roman" w:cs="Times New Roman"/>
          <w:b/>
          <w:sz w:val="28"/>
          <w:szCs w:val="28"/>
        </w:rPr>
        <w:t>«</w:t>
      </w:r>
      <w:r w:rsidRPr="00CE2D8E">
        <w:rPr>
          <w:rFonts w:ascii="Times New Roman" w:hAnsi="Times New Roman" w:cs="Times New Roman"/>
          <w:bCs/>
          <w:sz w:val="28"/>
          <w:szCs w:val="28"/>
        </w:rPr>
        <w:t xml:space="preserve">На территории сельсовета расположены Магистральные газопроводы Елецкого и </w:t>
      </w:r>
      <w:proofErr w:type="spellStart"/>
      <w:r w:rsidRPr="00CE2D8E">
        <w:rPr>
          <w:rFonts w:ascii="Times New Roman" w:hAnsi="Times New Roman" w:cs="Times New Roman"/>
          <w:bCs/>
          <w:sz w:val="28"/>
          <w:szCs w:val="28"/>
        </w:rPr>
        <w:t>Уренгойского</w:t>
      </w:r>
      <w:proofErr w:type="spellEnd"/>
      <w:r w:rsidRPr="00CE2D8E">
        <w:rPr>
          <w:rFonts w:ascii="Times New Roman" w:hAnsi="Times New Roman" w:cs="Times New Roman"/>
          <w:bCs/>
          <w:sz w:val="28"/>
          <w:szCs w:val="28"/>
        </w:rPr>
        <w:t xml:space="preserve"> коридоров (5 ниток): «Прогресс», диаметр – 1420 мм, давление – 75 кгс/см</w:t>
      </w:r>
      <w:r w:rsidRPr="00CE2D8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CE2D8E">
        <w:rPr>
          <w:rFonts w:ascii="Times New Roman" w:hAnsi="Times New Roman" w:cs="Times New Roman"/>
          <w:bCs/>
          <w:sz w:val="28"/>
          <w:szCs w:val="28"/>
        </w:rPr>
        <w:t>; «Елец-Кременчуг-Кривой Рог», диаметр – 1420 мм, давление – 75 кгс/см</w:t>
      </w:r>
      <w:r w:rsidRPr="00CE2D8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CE2D8E">
        <w:rPr>
          <w:rFonts w:ascii="Times New Roman" w:hAnsi="Times New Roman" w:cs="Times New Roman"/>
          <w:bCs/>
          <w:sz w:val="28"/>
          <w:szCs w:val="28"/>
        </w:rPr>
        <w:t>; «Уренгой-Помары-Ужгород», диаметр – 1420 мм, давление – 75 кгс/см</w:t>
      </w:r>
      <w:r w:rsidRPr="00CE2D8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CE2D8E">
        <w:rPr>
          <w:rFonts w:ascii="Times New Roman" w:hAnsi="Times New Roman" w:cs="Times New Roman"/>
          <w:bCs/>
          <w:sz w:val="28"/>
          <w:szCs w:val="28"/>
        </w:rPr>
        <w:t>; «Елец-Курск-Диканька», диаметр – 1220 мм, давление – 55 кгс/см</w:t>
      </w:r>
      <w:r w:rsidRPr="00CE2D8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CE2D8E">
        <w:rPr>
          <w:rFonts w:ascii="Times New Roman" w:hAnsi="Times New Roman" w:cs="Times New Roman"/>
          <w:bCs/>
          <w:sz w:val="28"/>
          <w:szCs w:val="28"/>
        </w:rPr>
        <w:t>; «Елец-Курск-Киев», диаметр – 1220 мм, давление – 55 кгс/см</w:t>
      </w:r>
      <w:r w:rsidRPr="00CE2D8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CE2D8E">
        <w:rPr>
          <w:rFonts w:ascii="Times New Roman" w:hAnsi="Times New Roman" w:cs="Times New Roman"/>
          <w:bCs/>
          <w:sz w:val="28"/>
          <w:szCs w:val="28"/>
        </w:rPr>
        <w:t>.</w:t>
      </w:r>
    </w:p>
    <w:p w14:paraId="317F58B1" w14:textId="77777777" w:rsidR="0013296B" w:rsidRPr="00CE2D8E" w:rsidRDefault="0013296B" w:rsidP="0013296B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Согласно «Методические рекомендации по оценке ущерба от аварий на опасных производственных объектах» РД 03-496-02, утвержденный </w:t>
      </w:r>
      <w:r w:rsidRPr="00CE2D8E">
        <w:rPr>
          <w:rFonts w:ascii="Times New Roman" w:hAnsi="Times New Roman" w:cs="Times New Roman"/>
          <w:sz w:val="28"/>
          <w:szCs w:val="28"/>
        </w:rPr>
        <w:lastRenderedPageBreak/>
        <w:t>постановлением Ростехнадзора России от 29.10.02 № 63, у</w:t>
      </w:r>
      <w:r w:rsidRPr="00CE2D8E">
        <w:rPr>
          <w:rFonts w:ascii="Times New Roman" w:hAnsi="Times New Roman" w:cs="Times New Roman"/>
          <w:spacing w:val="2"/>
          <w:sz w:val="28"/>
          <w:szCs w:val="28"/>
        </w:rPr>
        <w:t>щерб от аварий на опасных производственных объектах может быть выражен в общем виде формулой:</w:t>
      </w:r>
      <w:r w:rsidRPr="00CE2D8E">
        <w:rPr>
          <w:rFonts w:ascii="Times New Roman" w:hAnsi="Times New Roman" w:cs="Times New Roman"/>
          <w:bCs/>
          <w:sz w:val="28"/>
          <w:szCs w:val="28"/>
        </w:rPr>
        <w:t>»;</w:t>
      </w:r>
    </w:p>
    <w:bookmarkEnd w:id="34"/>
    <w:bookmarkEnd w:id="35"/>
    <w:p w14:paraId="7D7A4EFF" w14:textId="77777777" w:rsidR="0013296B" w:rsidRPr="00CE2D8E" w:rsidRDefault="0013296B" w:rsidP="0013296B">
      <w:pPr>
        <w:pStyle w:val="a7"/>
        <w:widowControl w:val="0"/>
        <w:ind w:left="0" w:firstLine="709"/>
        <w:jc w:val="both"/>
        <w:rPr>
          <w:b w:val="0"/>
          <w:szCs w:val="28"/>
        </w:rPr>
      </w:pPr>
      <w:r w:rsidRPr="00CE2D8E">
        <w:rPr>
          <w:b w:val="0"/>
          <w:szCs w:val="28"/>
        </w:rPr>
        <w:t>д) </w:t>
      </w:r>
      <w:r w:rsidRPr="00CE2D8E">
        <w:rPr>
          <w:b w:val="0"/>
          <w:bCs w:val="0"/>
          <w:szCs w:val="28"/>
        </w:rPr>
        <w:t>подраздел 4.1 «Оценка потенциальной опасности источников чрезвычайных ситуаций техногенного характера на территории МО «Лебяженский сельсовет</w:t>
      </w:r>
      <w:r w:rsidRPr="00CE2D8E">
        <w:rPr>
          <w:b w:val="0"/>
          <w:bCs w:val="0"/>
          <w:snapToGrid w:val="0"/>
          <w:szCs w:val="28"/>
        </w:rPr>
        <w:t>»» дополнить подразделом «</w:t>
      </w:r>
      <w:r w:rsidRPr="00CE2D8E">
        <w:rPr>
          <w:rFonts w:eastAsia="Calibri"/>
          <w:b w:val="0"/>
          <w:bCs w:val="0"/>
          <w:szCs w:val="28"/>
          <w:lang w:eastAsia="en-US"/>
        </w:rPr>
        <w:t xml:space="preserve">При наложении поражающих факторов военных чрезвычайных ситуаций, в том числе зон возможной опасности, предусмотренных </w:t>
      </w:r>
      <w:bookmarkStart w:id="36" w:name="_Hlk100044062"/>
      <w:r w:rsidRPr="00CE2D8E">
        <w:rPr>
          <w:rFonts w:eastAsia="Calibri"/>
          <w:b w:val="0"/>
          <w:bCs w:val="0"/>
          <w:szCs w:val="28"/>
          <w:lang w:eastAsia="en-US"/>
        </w:rPr>
        <w:t>СП 165.1325800.2014</w:t>
      </w:r>
      <w:bookmarkEnd w:id="36"/>
      <w:r w:rsidRPr="00CE2D8E">
        <w:rPr>
          <w:rFonts w:eastAsia="Calibri"/>
          <w:b w:val="0"/>
          <w:bCs w:val="0"/>
          <w:szCs w:val="28"/>
          <w:lang w:eastAsia="en-US"/>
        </w:rPr>
        <w:t>» следующего содержания:</w:t>
      </w:r>
    </w:p>
    <w:p w14:paraId="58357E87" w14:textId="77777777" w:rsidR="0013296B" w:rsidRPr="00CE2D8E" w:rsidRDefault="0013296B" w:rsidP="001329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sz w:val="28"/>
          <w:szCs w:val="28"/>
        </w:rPr>
        <w:t>«При наложении поражающих факторов военных чрезвычайных ситуаций, в том числе зон возможной опасности, предусмотренных СП 165.1325800.2014</w:t>
      </w:r>
    </w:p>
    <w:p w14:paraId="1743DE7B" w14:textId="77777777" w:rsidR="0013296B" w:rsidRPr="00CE2D8E" w:rsidRDefault="0013296B" w:rsidP="001329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1BADB91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sz w:val="28"/>
          <w:szCs w:val="28"/>
        </w:rPr>
        <w:t>Зоны возможной опасности</w:t>
      </w:r>
    </w:p>
    <w:p w14:paraId="18861D13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7" w:name="_Hlk100044168"/>
      <w:r w:rsidRPr="00CE2D8E">
        <w:rPr>
          <w:rFonts w:ascii="Times New Roman" w:eastAsia="Calibri" w:hAnsi="Times New Roman" w:cs="Times New Roman"/>
          <w:sz w:val="28"/>
          <w:szCs w:val="28"/>
        </w:rPr>
        <w:t xml:space="preserve">Территория Лебяженского сельсовета не расположена в зонах: </w:t>
      </w:r>
    </w:p>
    <w:p w14:paraId="6C161BBF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 xml:space="preserve">возможных разрушений территорий городов, отнесенных к группе по ГО; </w:t>
      </w:r>
    </w:p>
    <w:p w14:paraId="273350EB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 xml:space="preserve">возможного радиоактивного загрязнения в случае общей радиационной аварии на Курской АЭС (Приложение А СП 165.1325800.2014); </w:t>
      </w:r>
    </w:p>
    <w:p w14:paraId="76B41BD0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>возможного химического заражения в случае аварии на химически опасных объектах, расположенных на территории Курской области;</w:t>
      </w:r>
    </w:p>
    <w:p w14:paraId="769BEF99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 xml:space="preserve"> возможного биологического заражения, в связи с отсутствием на территории Курской области биологически опасных объектов; </w:t>
      </w:r>
    </w:p>
    <w:p w14:paraId="5743B64B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>возможного катастрофического затопления.</w:t>
      </w:r>
    </w:p>
    <w:p w14:paraId="5BB542DF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8" w:name="_Hlk100044249"/>
      <w:bookmarkEnd w:id="37"/>
      <w:r w:rsidRPr="00CE2D8E">
        <w:rPr>
          <w:rFonts w:ascii="Times New Roman" w:eastAsia="Calibri" w:hAnsi="Times New Roman" w:cs="Times New Roman"/>
          <w:sz w:val="28"/>
          <w:szCs w:val="28"/>
        </w:rPr>
        <w:t>Территория Лебяженского сельсовета расположена в безопасном районе, вне зоны возможных опасностей.</w:t>
      </w:r>
    </w:p>
    <w:bookmarkEnd w:id="38"/>
    <w:p w14:paraId="53D346DE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>На территории Лебяженского сельсовета организации, отнесенные к категории по гражданской обороне, отсутствуют.</w:t>
      </w:r>
    </w:p>
    <w:p w14:paraId="6B529507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sz w:val="28"/>
          <w:szCs w:val="28"/>
        </w:rPr>
        <w:t>Вывод:</w:t>
      </w:r>
      <w:r w:rsidRPr="00CE2D8E">
        <w:rPr>
          <w:rFonts w:ascii="Times New Roman" w:eastAsia="Calibri" w:hAnsi="Times New Roman" w:cs="Times New Roman"/>
          <w:sz w:val="28"/>
          <w:szCs w:val="28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5A2C1A56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>Границы зон воздействия поражающих факторов источников ЧС техногенного характера отражены на Карте территорий, подверженных риску возникновения чрезвычайных ситуаций природного и техногенного характера.</w:t>
      </w:r>
      <w:r w:rsidRPr="00CE2D8E">
        <w:rPr>
          <w:rFonts w:ascii="Times New Roman" w:hAnsi="Times New Roman" w:cs="Times New Roman"/>
          <w:sz w:val="28"/>
          <w:szCs w:val="28"/>
        </w:rPr>
        <w:t xml:space="preserve">»; </w:t>
      </w:r>
    </w:p>
    <w:p w14:paraId="68FB4B8D" w14:textId="77777777" w:rsidR="0013296B" w:rsidRPr="00CE2D8E" w:rsidRDefault="0013296B" w:rsidP="0013296B">
      <w:pPr>
        <w:pStyle w:val="a3"/>
        <w:widowControl w:val="0"/>
        <w:spacing w:line="240" w:lineRule="auto"/>
        <w:ind w:left="0" w:firstLine="720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bookmarkStart w:id="39" w:name="_Hlk96941388"/>
      <w:r w:rsidRPr="00CE2D8E">
        <w:rPr>
          <w:rFonts w:ascii="Times New Roman" w:hAnsi="Times New Roman" w:cs="Times New Roman"/>
          <w:bCs/>
          <w:sz w:val="28"/>
          <w:szCs w:val="28"/>
        </w:rPr>
        <w:t>е) абзац третий – восемнадцатый подраздела «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>Отклонения климатических условий от ординарных» подраздела 4.2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Оценка потенциальной опасности источников ЧС природного характера территории муниципального образования «Лебяженский сельсовет»» изложить в следующей редакции:</w:t>
      </w:r>
    </w:p>
    <w:p w14:paraId="0B8E5929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«сильные ветры со скоростью 10-18 м/сек и более;</w:t>
      </w:r>
    </w:p>
    <w:p w14:paraId="6EFF33D0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грозы (4-8 часов в год);</w:t>
      </w:r>
    </w:p>
    <w:p w14:paraId="4F739C10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град с диаметром частиц 10 мм;</w:t>
      </w:r>
    </w:p>
    <w:p w14:paraId="2136E210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lastRenderedPageBreak/>
        <w:t>сильнейшие ливни с интенсивностью 15 мм в час и более;</w:t>
      </w:r>
    </w:p>
    <w:p w14:paraId="518B47E5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сильные снег с дождем – 15 мм в час;</w:t>
      </w:r>
    </w:p>
    <w:p w14:paraId="6751EBFD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сильные морозы (минус 28 </w:t>
      </w:r>
      <w:proofErr w:type="spellStart"/>
      <w:r w:rsidRPr="00CE2D8E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CE2D8E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и ниже);</w:t>
      </w:r>
    </w:p>
    <w:p w14:paraId="4CD733E8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снегопады, превышающие 20 мм за 24 часа;</w:t>
      </w:r>
    </w:p>
    <w:p w14:paraId="76EF33CE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сильная низовая метель при преобладающей скорости ветра более 10 м/сек;</w:t>
      </w:r>
    </w:p>
    <w:p w14:paraId="51A34E96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вес снежного покрова – 70 кг/м</w:t>
      </w:r>
      <w:r w:rsidRPr="00CE2D8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E2D8E">
        <w:rPr>
          <w:rFonts w:ascii="Times New Roman" w:hAnsi="Times New Roman" w:cs="Times New Roman"/>
          <w:sz w:val="28"/>
          <w:szCs w:val="28"/>
        </w:rPr>
        <w:t>;</w:t>
      </w:r>
    </w:p>
    <w:p w14:paraId="010AA7F0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сложные отложения и налипания мокрого снега – 22 мм и более;</w:t>
      </w:r>
    </w:p>
    <w:p w14:paraId="10D954B1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наибольшая глубина промерзания грунтов на открытой оголенной от снега площадке – 142 см;</w:t>
      </w:r>
    </w:p>
    <w:p w14:paraId="7C92CE1C" w14:textId="77777777" w:rsidR="0013296B" w:rsidRPr="00CE2D8E" w:rsidRDefault="0013296B" w:rsidP="0013296B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сильная и продолжительная жара – температура воздуха плюс 32 </w:t>
      </w:r>
      <w:proofErr w:type="spellStart"/>
      <w:r w:rsidRPr="00CE2D8E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CE2D8E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и более.»;</w:t>
      </w:r>
    </w:p>
    <w:p w14:paraId="26F9FC46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ж) абзацы двадцатый - двадцать восьмой </w:t>
      </w:r>
      <w:r w:rsidRPr="00CE2D8E">
        <w:rPr>
          <w:rFonts w:ascii="Times New Roman" w:hAnsi="Times New Roman" w:cs="Times New Roman"/>
          <w:bCs/>
          <w:sz w:val="28"/>
          <w:szCs w:val="28"/>
        </w:rPr>
        <w:t>подраздела «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>Отклонения климатических условий от ординарных» подраздела 4.2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Оценка потенциальной опасности источников ЧС природного характера территории муниципального образования «Лебяженский сельсовет»» исключить;</w:t>
      </w:r>
    </w:p>
    <w:p w14:paraId="5F4FE178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bCs/>
          <w:sz w:val="28"/>
          <w:szCs w:val="28"/>
        </w:rPr>
        <w:t>з) абзац сорок первый</w:t>
      </w:r>
      <w:r w:rsidRPr="00CE2D8E">
        <w:rPr>
          <w:rFonts w:ascii="Times New Roman" w:hAnsi="Times New Roman" w:cs="Times New Roman"/>
          <w:sz w:val="28"/>
          <w:szCs w:val="28"/>
        </w:rPr>
        <w:t xml:space="preserve"> </w:t>
      </w:r>
      <w:r w:rsidRPr="00CE2D8E">
        <w:rPr>
          <w:rFonts w:ascii="Times New Roman" w:hAnsi="Times New Roman" w:cs="Times New Roman"/>
          <w:bCs/>
          <w:sz w:val="28"/>
          <w:szCs w:val="28"/>
        </w:rPr>
        <w:t>подраздела «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>Отклонения климатических условий от ординарных» подраздела 4.2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Оценка потенциальной опасности источников ЧС природного характера территории муниципального образования «Лебяженский сельсовет»» изложить в следующей редакции:</w:t>
      </w:r>
    </w:p>
    <w:p w14:paraId="1689A2D8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«Показатель приемлемого риска ЧС природного характера составляет 0,1х10</w:t>
      </w:r>
      <w:r w:rsidRPr="00CE2D8E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CE2D8E">
        <w:rPr>
          <w:rFonts w:ascii="Times New Roman" w:hAnsi="Times New Roman" w:cs="Times New Roman"/>
          <w:sz w:val="28"/>
          <w:szCs w:val="28"/>
        </w:rPr>
        <w:t>.»;</w:t>
      </w:r>
    </w:p>
    <w:p w14:paraId="393901AD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и) после первого абзаца подраздела «Ветровые нагрузки» 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>подраздела 4.2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Оценка потенциальной опасности источников ЧС природного характера территории муниципального образования «Лебяженский сельсовет»» дополнить абзацем следующего содержания</w:t>
      </w:r>
      <w:r w:rsidRPr="00CE2D8E">
        <w:rPr>
          <w:rFonts w:ascii="Times New Roman" w:hAnsi="Times New Roman" w:cs="Times New Roman"/>
          <w:sz w:val="28"/>
          <w:szCs w:val="28"/>
        </w:rPr>
        <w:t>:</w:t>
      </w:r>
    </w:p>
    <w:p w14:paraId="5B020F14" w14:textId="77777777" w:rsidR="0013296B" w:rsidRPr="00CE2D8E" w:rsidRDefault="0013296B" w:rsidP="00132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E2D8E">
        <w:rPr>
          <w:rFonts w:ascii="Times New Roman" w:hAnsi="Times New Roman" w:cs="Times New Roman"/>
          <w:spacing w:val="-6"/>
          <w:sz w:val="28"/>
          <w:szCs w:val="28"/>
        </w:rPr>
        <w:t xml:space="preserve">«На территории объекта территориального планирования ежегодно наблюдается сильный ветер со скоростью ветра (порывами) до 20 м/с, вызывающий различной степени разрушения жилых и производственных зданий (в основном крыш), электрических линий ЛЭП-110, 35, 10, 0,4 </w:t>
      </w:r>
      <w:proofErr w:type="spellStart"/>
      <w:r w:rsidRPr="00CE2D8E">
        <w:rPr>
          <w:rFonts w:ascii="Times New Roman" w:hAnsi="Times New Roman" w:cs="Times New Roman"/>
          <w:spacing w:val="-6"/>
          <w:sz w:val="28"/>
          <w:szCs w:val="28"/>
        </w:rPr>
        <w:t>кВ</w:t>
      </w:r>
      <w:proofErr w:type="spellEnd"/>
      <w:r w:rsidRPr="00CE2D8E">
        <w:rPr>
          <w:rFonts w:ascii="Times New Roman" w:hAnsi="Times New Roman" w:cs="Times New Roman"/>
          <w:spacing w:val="-6"/>
          <w:sz w:val="28"/>
          <w:szCs w:val="28"/>
        </w:rPr>
        <w:t>, техники, деревьев, посевов с\х культур.</w:t>
      </w:r>
      <w:r w:rsidRPr="00CE2D8E">
        <w:rPr>
          <w:rFonts w:ascii="Times New Roman" w:hAnsi="Times New Roman" w:cs="Times New Roman"/>
          <w:sz w:val="28"/>
          <w:szCs w:val="28"/>
        </w:rPr>
        <w:t>»;</w:t>
      </w:r>
    </w:p>
    <w:p w14:paraId="79096C2C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к) подраздел </w:t>
      </w:r>
      <w:r w:rsidRPr="00CE2D8E">
        <w:rPr>
          <w:rFonts w:ascii="Times New Roman" w:hAnsi="Times New Roman" w:cs="Times New Roman"/>
          <w:bCs/>
          <w:sz w:val="28"/>
          <w:szCs w:val="28"/>
        </w:rPr>
        <w:t xml:space="preserve">«Опасные геологические процессы» 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>подраздела 4.2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Оценка потенциальной опасности источников ЧС природного характера территории муниципального образования «Лебяженский сельсовет»» дополнить абзацами двадцать восьмым – тридцать вторым следующего содержания:</w:t>
      </w:r>
    </w:p>
    <w:p w14:paraId="7987C220" w14:textId="77777777" w:rsidR="0013296B" w:rsidRPr="00CE2D8E" w:rsidRDefault="0013296B" w:rsidP="0013296B">
      <w:pPr>
        <w:pStyle w:val="a3"/>
        <w:keepNext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40" w:name="_Hlk98857672"/>
      <w:r w:rsidRPr="00CE2D8E">
        <w:rPr>
          <w:rFonts w:ascii="Times New Roman" w:hAnsi="Times New Roman" w:cs="Times New Roman"/>
          <w:snapToGrid w:val="0"/>
          <w:sz w:val="28"/>
          <w:szCs w:val="28"/>
        </w:rPr>
        <w:t>«Наиболее опасным фактором для территории объекта территориального планирования является высокий уровень поверхностного стока, следовательно, возникновение явлений плоскостного смыва, эрозионных размывов.</w:t>
      </w:r>
    </w:p>
    <w:p w14:paraId="682F466D" w14:textId="77777777" w:rsidR="0013296B" w:rsidRPr="00CE2D8E" w:rsidRDefault="0013296B" w:rsidP="0013296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Для выявления влияния опасных геологических процессов на территории объекта территориального планирования необходимо проведение инженерно-геологических изысканий.</w:t>
      </w:r>
    </w:p>
    <w:p w14:paraId="78ADA6BA" w14:textId="77777777" w:rsidR="0013296B" w:rsidRPr="00CE2D8E" w:rsidRDefault="0013296B" w:rsidP="0013296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Сроки начала весеннего снеготаяния на территории области приходятся в среднем на вторую-третью декаду марта.</w:t>
      </w:r>
    </w:p>
    <w:p w14:paraId="38E21353" w14:textId="77777777" w:rsidR="0013296B" w:rsidRPr="00CE2D8E" w:rsidRDefault="0013296B" w:rsidP="0013296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lastRenderedPageBreak/>
        <w:t>В соответствии с постановлением Правительства Российской Федерации от 18.04.2014 № 360 «Об определении границ зон затопление, подтопления» комитетом природных ресурсов Курской области определены границы зон затопления (подтопления) на территории Лебяженского сельсовета: д. Толмачево, с. Лебяжье.</w:t>
      </w:r>
    </w:p>
    <w:p w14:paraId="540C2467" w14:textId="77777777" w:rsidR="0013296B" w:rsidRPr="00CE2D8E" w:rsidRDefault="0013296B" w:rsidP="0013296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Для снижения риска возникновения природных ЧС вследствие воздействия источников ЧС (воздействия весеннего половодья, подтопления территории поверхностными водами при таянии снега и дождях) требуется проектирование мероприятий по инженерной защите территории застройки с учётом пунктов 4.1.1, 4.1.4, 4.4 - 4.9, 4.14 - 4.20 СП 104.13330.2016 «СНиП Инженерная защита территории от затопления и подтопления».»;</w:t>
      </w:r>
    </w:p>
    <w:bookmarkEnd w:id="40"/>
    <w:p w14:paraId="70DD67AB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bCs/>
          <w:sz w:val="28"/>
          <w:szCs w:val="28"/>
        </w:rPr>
        <w:t xml:space="preserve">л) абзац второй подраздела «Природные пожары» </w:t>
      </w:r>
      <w:r w:rsidRPr="00CE2D8E">
        <w:rPr>
          <w:rFonts w:ascii="Times New Roman" w:hAnsi="Times New Roman" w:cs="Times New Roman"/>
          <w:bCs/>
          <w:snapToGrid w:val="0"/>
          <w:sz w:val="28"/>
          <w:szCs w:val="28"/>
        </w:rPr>
        <w:t>подраздела 4.2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Оценка потенциальной опасности источников ЧС природного характера территории муниципального образования «Лебяженский сельсовет»» изложить в следующей редакции:</w:t>
      </w:r>
    </w:p>
    <w:p w14:paraId="78DF0CAB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Hlk98857740"/>
      <w:r w:rsidRPr="00CE2D8E">
        <w:rPr>
          <w:rFonts w:ascii="Times New Roman" w:hAnsi="Times New Roman" w:cs="Times New Roman"/>
          <w:sz w:val="28"/>
          <w:szCs w:val="28"/>
        </w:rPr>
        <w:t>«К возникновению природных пожаров на территории объекта территориального планирования могут привести следующие факторы: расположение на территории лесных массивов смешанного типа, кустарниковой растительности в овражно- балочной сети.</w:t>
      </w:r>
    </w:p>
    <w:p w14:paraId="1FF5FE93" w14:textId="77777777" w:rsidR="0013296B" w:rsidRPr="00CE2D8E" w:rsidRDefault="0013296B" w:rsidP="001329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Переносу огня на территории населённых пунктов объекта территориального планирования может служить возникновение пожаров (палов) пожнивных остатков, травяной и кустарниковой растительности на полях сельхозтоваропроизводителей и в прилегающей овражно-балочной сети.</w:t>
      </w:r>
    </w:p>
    <w:p w14:paraId="3B340A05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Курской области от 29.09.2021 № 1017-па «Об утверждении перечней населенных пунктов, территорий организаций отдыха детей и их оздоровления, территорий садоводства или огородничества, подверженных угрозе лесных пожаров и других ландшафтных (природных) пожаров» населенные пункты д. Толмачево, п. </w:t>
      </w:r>
      <w:proofErr w:type="spellStart"/>
      <w:r w:rsidRPr="00CE2D8E">
        <w:rPr>
          <w:rFonts w:ascii="Times New Roman" w:hAnsi="Times New Roman" w:cs="Times New Roman"/>
          <w:sz w:val="28"/>
          <w:szCs w:val="28"/>
        </w:rPr>
        <w:t>Клюквинский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2D8E">
        <w:rPr>
          <w:rFonts w:ascii="Times New Roman" w:hAnsi="Times New Roman" w:cs="Times New Roman"/>
          <w:sz w:val="28"/>
          <w:szCs w:val="28"/>
        </w:rPr>
        <w:t>Лебяженского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сельсовета подвержены угрозе лесных пожаров и других ландшафтных (природных) пожаров.»;</w:t>
      </w:r>
    </w:p>
    <w:p w14:paraId="567139A2" w14:textId="77777777" w:rsidR="0013296B" w:rsidRPr="00CE2D8E" w:rsidRDefault="0013296B" w:rsidP="0013296B">
      <w:pPr>
        <w:pStyle w:val="a3"/>
        <w:widowControl w:val="0"/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2D8E">
        <w:rPr>
          <w:rFonts w:ascii="Times New Roman" w:hAnsi="Times New Roman" w:cs="Times New Roman"/>
          <w:bCs/>
          <w:iCs/>
          <w:sz w:val="28"/>
          <w:szCs w:val="28"/>
        </w:rPr>
        <w:t>4)</w:t>
      </w:r>
      <w:r w:rsidRPr="00CE2D8E">
        <w:t> </w:t>
      </w:r>
      <w:r w:rsidRPr="00CE2D8E">
        <w:rPr>
          <w:rFonts w:ascii="Times New Roman" w:hAnsi="Times New Roman" w:cs="Times New Roman"/>
          <w:iCs/>
          <w:sz w:val="28"/>
          <w:szCs w:val="28"/>
        </w:rPr>
        <w:t xml:space="preserve">в разделе 5 «Градостроительные и проектные ограничения, предложения и решения обоснования минимизации последствий чрезвычайных ситуаций»; </w:t>
      </w:r>
    </w:p>
    <w:p w14:paraId="50BCD132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а) подраздел 5.2.2 «Развитие застройки территории» подраздела 5</w:t>
      </w:r>
      <w:r w:rsidRPr="00CE2D8E">
        <w:rPr>
          <w:rFonts w:ascii="Times New Roman" w:hAnsi="Times New Roman" w:cs="Times New Roman"/>
          <w:bCs/>
          <w:sz w:val="28"/>
          <w:szCs w:val="28"/>
        </w:rPr>
        <w:t>.2 «Расселение населения, развитие застройки территории и размещения объектов капитального строительства» дополнить абзацем следующего содержания:</w:t>
      </w:r>
    </w:p>
    <w:p w14:paraId="76B240BB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2" w:name="_Hlk98855028"/>
      <w:r w:rsidRPr="00CE2D8E">
        <w:rPr>
          <w:rFonts w:ascii="Times New Roman" w:hAnsi="Times New Roman" w:cs="Times New Roman"/>
          <w:sz w:val="28"/>
          <w:szCs w:val="28"/>
        </w:rPr>
        <w:t>«</w:t>
      </w:r>
      <w:bookmarkStart w:id="43" w:name="_Hlk100061501"/>
      <w:r w:rsidRPr="00CE2D8E">
        <w:rPr>
          <w:rFonts w:ascii="Times New Roman" w:hAnsi="Times New Roman" w:cs="Times New Roman"/>
          <w:sz w:val="28"/>
          <w:szCs w:val="28"/>
        </w:rPr>
        <w:t>При дальнейшей застройке населенных пунктов сельсовета необходимо по отношению к этажности зданий, плотности застройки учитывать требования пунктов 4.13 - 4.14 СП</w:t>
      </w:r>
      <w:r w:rsidR="007453F3" w:rsidRPr="00CE2D8E">
        <w:rPr>
          <w:rFonts w:ascii="Times New Roman" w:hAnsi="Times New Roman" w:cs="Times New Roman"/>
          <w:sz w:val="28"/>
          <w:szCs w:val="28"/>
        </w:rPr>
        <w:t xml:space="preserve"> 165.1325800.2014 «СНиП </w:t>
      </w:r>
      <w:r w:rsidRPr="00CE2D8E">
        <w:rPr>
          <w:rFonts w:ascii="Times New Roman" w:hAnsi="Times New Roman" w:cs="Times New Roman"/>
          <w:sz w:val="28"/>
          <w:szCs w:val="28"/>
        </w:rPr>
        <w:t>2.01.51-90 Инженерно-технические мероприятия по гражданской обороне» в части, касающейся поселений, расположенных в загородной зоне.</w:t>
      </w:r>
      <w:bookmarkEnd w:id="43"/>
      <w:r w:rsidRPr="00CE2D8E">
        <w:rPr>
          <w:rFonts w:ascii="Times New Roman" w:hAnsi="Times New Roman" w:cs="Times New Roman"/>
          <w:sz w:val="28"/>
          <w:szCs w:val="28"/>
        </w:rPr>
        <w:t>»;</w:t>
      </w:r>
    </w:p>
    <w:p w14:paraId="2F6A3068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б)</w:t>
      </w:r>
      <w:r w:rsidRPr="00CE2D8E">
        <w:rPr>
          <w:szCs w:val="28"/>
        </w:rPr>
        <w:t> </w:t>
      </w:r>
      <w:r w:rsidRPr="00CE2D8E">
        <w:rPr>
          <w:rFonts w:ascii="Times New Roman" w:hAnsi="Times New Roman" w:cs="Times New Roman"/>
          <w:sz w:val="28"/>
          <w:szCs w:val="28"/>
        </w:rPr>
        <w:t xml:space="preserve">подраздел «Градостроительные (проектные) ограничения </w:t>
      </w:r>
      <w:r w:rsidRPr="00CE2D8E">
        <w:rPr>
          <w:rFonts w:ascii="Times New Roman" w:hAnsi="Times New Roman" w:cs="Times New Roman"/>
          <w:sz w:val="28"/>
          <w:szCs w:val="28"/>
        </w:rPr>
        <w:lastRenderedPageBreak/>
        <w:t xml:space="preserve">(предложения)» подраздела 5.3.2 «Источники хозяйственно-питьевого водоснабжения и требования к ним» </w:t>
      </w:r>
      <w:r w:rsidRPr="00CE2D8E">
        <w:rPr>
          <w:rFonts w:ascii="Times New Roman" w:hAnsi="Times New Roman" w:cs="Times New Roman"/>
          <w:spacing w:val="-2"/>
          <w:sz w:val="28"/>
          <w:szCs w:val="28"/>
        </w:rPr>
        <w:t xml:space="preserve">подраздела </w:t>
      </w:r>
      <w:r w:rsidRPr="00CE2D8E">
        <w:rPr>
          <w:rFonts w:ascii="Times New Roman" w:hAnsi="Times New Roman" w:cs="Times New Roman"/>
          <w:sz w:val="28"/>
          <w:szCs w:val="28"/>
        </w:rPr>
        <w:t xml:space="preserve">5.3. «Транспортная и инженерная инфраструктуры» изложить в следующей редакции: </w:t>
      </w:r>
    </w:p>
    <w:p w14:paraId="17CFE3F8" w14:textId="77777777" w:rsidR="0013296B" w:rsidRPr="00CE2D8E" w:rsidRDefault="0013296B" w:rsidP="0013296B">
      <w:pPr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</w:t>
      </w:r>
      <w:bookmarkStart w:id="44" w:name="_Hlk97110749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положениями пунктов 5.19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 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-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 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5.35 СП 165.1325800.2014 «</w:t>
      </w:r>
      <w:r w:rsidR="007453F3"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СНиП 2.01.51-90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Инженерно-технические мероприятия по гражданской обороне»:</w:t>
      </w:r>
    </w:p>
    <w:p w14:paraId="1D6960EF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Суммарную мощность водозаборных сооружений рассчитывают по нормам мирного времени.</w:t>
      </w:r>
    </w:p>
    <w:p w14:paraId="6EB8815F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 случае выхода из строя одной группы водозаборных сооружений мощность оставшихся сооружений должна обеспечивать подачу воды по аварийному режиму на производственно-технические нужды объектов, а также на хозяйственно-питьевые нужды для численности населения мирного времени по нормам, установленным соответствующими национальными документами по стандартизации.</w:t>
      </w:r>
    </w:p>
    <w:p w14:paraId="3747FD78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 зоне возможного радиоактивного загрязнения резервуары питьевой воды следует оборудовать фильтрами-поглотителями для очистки воздуха от радиоактивных веществ.</w:t>
      </w:r>
    </w:p>
    <w:p w14:paraId="5FD3A40E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Резервуары питьевой воды должны быть расположены за пределами зон возможных сильных разрушений. При размещении резервуаров питьевой воды в зоне возможных сильных разрушений они должны быть предусмотрены в защищенном исполнении.</w:t>
      </w:r>
    </w:p>
    <w:p w14:paraId="5549A785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Резервуары питьевой воды должны быть оборудованы герметическими люками и приспособлениями для раздачи воды в передвижную и переносную тару.</w:t>
      </w:r>
    </w:p>
    <w:p w14:paraId="05AC6B84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Суммарная проектная производительность защищенных от радиоактивного загрязнения и (или) химического заражения объектов водоснабжения в безопасной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и птицы, содержащихся на предприятиях всех форм собственности, крестьянских (фермерских) и личных подсобных хозяйств, в питьевой воде и определяться: для населения - из расчета не менее 25 л в сутки на одного человека; для сельскохозяйственных животных и птицы - по нормам, устанавливаемым Минсельхозом России.</w:t>
      </w:r>
    </w:p>
    <w:p w14:paraId="42A56465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проектировании систем водоснабжения тепловых электростанций и атомных станций, расположенных в верхнем или нижнем бьефе гидротехнических сооружений, должна быть предусмотрена возможность технического водоснабжения этих станций при прорыве сооружений напорного фронта гидротехнических сооружений, а также возможность обеспечения устойчивости работы систем водоснабжения.</w:t>
      </w:r>
    </w:p>
    <w:p w14:paraId="5E094E6E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При проектировании новых и реконструкции действующих водозаборных сооружений, предусмотренных к использованию в военное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время, следует применять погружные насосы, сблокированные с электродвигателями.</w:t>
      </w:r>
    </w:p>
    <w:p w14:paraId="2612C6B3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Не менее половины скважин должны быть присоединены к автономным резервным источникам питания электроприемников и иметь устройства для подключения насосов к передвижным электростанциям.</w:t>
      </w:r>
    </w:p>
    <w:p w14:paraId="395D9AB8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Конструкции </w:t>
      </w:r>
      <w:r w:rsidR="007453F3" w:rsidRPr="00CE2D8E">
        <w:rPr>
          <w:rFonts w:ascii="Times New Roman" w:eastAsia="Calibri" w:hAnsi="Times New Roman" w:cs="Times New Roman"/>
          <w:kern w:val="2"/>
          <w:sz w:val="28"/>
          <w:szCs w:val="28"/>
        </w:rPr>
        <w:t>оголовков,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действующих и резервных водозаборных сооружений должны обеспечивать их полную герметизацию. Оголовки скважин должны размещаться в колодцах или иных сооружениях, обеспечивающих в необходимых случаях их защиту от фугасного действия обычных средств поражения, вызывающего разрушение зданий, сооружений и коммуникаций.</w:t>
      </w:r>
    </w:p>
    <w:p w14:paraId="57054894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подсоединении промышленных предприятий к городским сетям водоснабжения существующие на указанных предприятиях водозаборные сооружения следует герметизировать (консервировать) и сохранять для возможного использования их в качестве резервных источников водоснабжения.</w:t>
      </w:r>
    </w:p>
    <w:p w14:paraId="00BE3767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Водозаборные сооружения, не пригодные к дальнейшему использованию, должны быть тампонированы, а самоизливающиеся водозаборные сооружения – оборудованы регулирующими кранами.</w:t>
      </w:r>
    </w:p>
    <w:p w14:paraId="1C601188" w14:textId="77777777" w:rsidR="0013296B" w:rsidRPr="00CE2D8E" w:rsidRDefault="0013296B" w:rsidP="0013296B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Защиту систем централизованного хозяйственно-питьевого водоснабжения городских округов и поселений, базирующихся на поверхностных источниках водоснабжения, подверженных периодическому или систематическому загрязнению и аварийным сбросам веществ, опасных для жизни и здоровья людей, животных и птицы, следует осуществлять в соответствии с положениями ГОСТ Р 22.6.01.</w:t>
      </w:r>
      <w:bookmarkEnd w:id="44"/>
      <w:r w:rsidRPr="00CE2D8E">
        <w:rPr>
          <w:rFonts w:ascii="Times New Roman" w:hAnsi="Times New Roman" w:cs="Times New Roman"/>
          <w:sz w:val="28"/>
          <w:szCs w:val="28"/>
        </w:rPr>
        <w:t>»;</w:t>
      </w:r>
    </w:p>
    <w:p w14:paraId="2C8D6134" w14:textId="77777777" w:rsidR="0013296B" w:rsidRPr="00CE2D8E" w:rsidRDefault="0013296B" w:rsidP="0013296B">
      <w:pPr>
        <w:pStyle w:val="a7"/>
        <w:widowControl w:val="0"/>
        <w:ind w:left="0" w:firstLine="720"/>
        <w:jc w:val="both"/>
        <w:rPr>
          <w:b w:val="0"/>
          <w:bCs w:val="0"/>
          <w:szCs w:val="28"/>
        </w:rPr>
      </w:pPr>
      <w:r w:rsidRPr="00CE2D8E">
        <w:rPr>
          <w:b w:val="0"/>
          <w:bCs w:val="0"/>
          <w:szCs w:val="28"/>
        </w:rPr>
        <w:t>б) абзацы второй – девятый подраздела «</w:t>
      </w:r>
      <w:r w:rsidRPr="00CE2D8E">
        <w:rPr>
          <w:b w:val="0"/>
          <w:bCs w:val="0"/>
          <w:iCs/>
          <w:szCs w:val="28"/>
        </w:rPr>
        <w:t>Градостроительные (проектные) ограничения (предложения)» подраздела 5.3.3 «Электроснабжения поселения и объектов»</w:t>
      </w:r>
      <w:r w:rsidRPr="00CE2D8E">
        <w:rPr>
          <w:i/>
          <w:szCs w:val="28"/>
        </w:rPr>
        <w:t xml:space="preserve"> </w:t>
      </w:r>
      <w:r w:rsidRPr="00CE2D8E">
        <w:rPr>
          <w:b w:val="0"/>
          <w:bCs w:val="0"/>
          <w:spacing w:val="-2"/>
          <w:szCs w:val="28"/>
        </w:rPr>
        <w:t xml:space="preserve">подраздела </w:t>
      </w:r>
      <w:r w:rsidRPr="00CE2D8E">
        <w:rPr>
          <w:b w:val="0"/>
          <w:bCs w:val="0"/>
          <w:szCs w:val="28"/>
        </w:rPr>
        <w:t>5.3 «Транспортная и инженерная инфраструктуры» изложить в следующей редакции:</w:t>
      </w:r>
    </w:p>
    <w:p w14:paraId="46D6E237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пунктов 6.85 - 6.99 СП 165.1325800.2014 «СНиП 2.01.51-90 Инженерно-технические мероприятия по гражданской обороне.»:</w:t>
      </w:r>
    </w:p>
    <w:p w14:paraId="3CB143C4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Распределительные линии электропередачи энергетических систем напряжением 35 - 110 (220) </w:t>
      </w:r>
      <w:proofErr w:type="spellStart"/>
      <w:r w:rsidRPr="00CE2D8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 xml:space="preserve"> и более должны быть закольцованы и подключены к нескольким источникам электроснабжения с учетом возможного повреждения отдельных источников, а также должны проходить по разным трассам.</w:t>
      </w:r>
    </w:p>
    <w:p w14:paraId="77818806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При проектировании систем электроснабжения следует предусматривать возможность применения передвижных электростанций и подстанций.</w:t>
      </w:r>
    </w:p>
    <w:p w14:paraId="3F4C3582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В схемах внутриплощадочных электрических сетей организаций-потребителей электроэнергии необходимо предусматривать меры, допускающие дистанционное кратковременное отключение отдельных </w:t>
      </w:r>
      <w:r w:rsidRPr="00CE2D8E">
        <w:rPr>
          <w:rFonts w:ascii="Times New Roman" w:hAnsi="Times New Roman" w:cs="Times New Roman"/>
          <w:sz w:val="28"/>
          <w:szCs w:val="28"/>
        </w:rPr>
        <w:lastRenderedPageBreak/>
        <w:t>объектов, периодические и кратковременные перерывы в электроснабжении.»;</w:t>
      </w:r>
    </w:p>
    <w:p w14:paraId="69AD8248" w14:textId="77777777" w:rsidR="0013296B" w:rsidRPr="00CE2D8E" w:rsidRDefault="0013296B" w:rsidP="0013296B">
      <w:pPr>
        <w:pStyle w:val="a7"/>
        <w:widowControl w:val="0"/>
        <w:ind w:left="0" w:firstLine="720"/>
        <w:jc w:val="both"/>
        <w:rPr>
          <w:b w:val="0"/>
          <w:bCs w:val="0"/>
          <w:szCs w:val="28"/>
        </w:rPr>
      </w:pPr>
      <w:r w:rsidRPr="00CE2D8E">
        <w:rPr>
          <w:b w:val="0"/>
          <w:bCs w:val="0"/>
          <w:szCs w:val="28"/>
        </w:rPr>
        <w:t xml:space="preserve">в) абзац второй подраздела «Градостроительные (проектные) ограничения (предложения)» </w:t>
      </w:r>
      <w:r w:rsidRPr="00CE2D8E">
        <w:rPr>
          <w:b w:val="0"/>
          <w:bCs w:val="0"/>
          <w:iCs/>
          <w:szCs w:val="28"/>
        </w:rPr>
        <w:t xml:space="preserve">подраздела 5.3.4 «Газоснабжения» </w:t>
      </w:r>
      <w:r w:rsidRPr="00CE2D8E">
        <w:rPr>
          <w:b w:val="0"/>
          <w:bCs w:val="0"/>
          <w:spacing w:val="-2"/>
          <w:szCs w:val="28"/>
        </w:rPr>
        <w:t xml:space="preserve">подраздела </w:t>
      </w:r>
      <w:r w:rsidRPr="00CE2D8E">
        <w:rPr>
          <w:b w:val="0"/>
          <w:bCs w:val="0"/>
          <w:szCs w:val="28"/>
        </w:rPr>
        <w:t>5.3 «Транспортная и инженерная инфраструктуры» изложить в следующей редакции:</w:t>
      </w:r>
    </w:p>
    <w:p w14:paraId="406BFDFD" w14:textId="77777777" w:rsidR="0013296B" w:rsidRPr="00CE2D8E" w:rsidRDefault="0013296B" w:rsidP="00132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«При проектировании реконструкции, и строительства систем газоснабжения при развитии проектной застройки населённых пунктов, для снижения риска при воздействии поражающих факторов техногенных и военных ЧС, необходимо учитывать положения пунктов 5.36 - 5.42 СП 165.1325800.2014 «СНиП 2.01.51-90 Инженерно-технические мероприятия по гражданской обороне».</w:t>
      </w:r>
    </w:p>
    <w:p w14:paraId="09FBBA17" w14:textId="77777777" w:rsidR="0013296B" w:rsidRPr="00CE2D8E" w:rsidRDefault="0013296B" w:rsidP="00132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Газоснабжение территории разрабатывается в соответствии с требованиями СП 62.13330.2011 «СНиП 42-01-2002 Газораспределительные системы» федеральными нормами и правилами в области промышленной безопасности «Правила безопасности систем газораспределения и газопотребления», утвержденными приказом Ростехнадзора от 15.12.2020 № 531, и требования Федерального закона от 21.07.1997 № 116-ФЗ «О промышленной безопасности опасных производственных объектов».»;</w:t>
      </w:r>
    </w:p>
    <w:p w14:paraId="191EBC68" w14:textId="77777777" w:rsidR="0013296B" w:rsidRPr="00CE2D8E" w:rsidRDefault="0013296B" w:rsidP="001329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г) подраздел 5.4.3 «Система оповещения о ЧС» подраздела 5.4 «Система оповещения населения о чрезвычайных ситуациях и система оповещения ГО» дополнить абзацами третьим - восьмым следующего содержания:</w:t>
      </w:r>
    </w:p>
    <w:p w14:paraId="4B2E9029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hAnsi="Times New Roman" w:cs="Times New Roman"/>
          <w:sz w:val="28"/>
          <w:szCs w:val="28"/>
        </w:rPr>
        <w:t>«</w:t>
      </w:r>
      <w:r w:rsidR="007453F3" w:rsidRPr="00CE2D8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E2D8E">
        <w:rPr>
          <w:rFonts w:ascii="Times New Roman" w:hAnsi="Times New Roman" w:cs="Times New Roman"/>
          <w:sz w:val="28"/>
          <w:szCs w:val="28"/>
          <w:lang w:eastAsia="ru-RU"/>
        </w:rPr>
        <w:t>ерритори</w:t>
      </w:r>
      <w:r w:rsidR="007453F3" w:rsidRPr="00CE2D8E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7453F3"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 планируется</w:t>
      </w:r>
      <w:r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 оборудова</w:t>
      </w:r>
      <w:r w:rsidR="007453F3" w:rsidRPr="00CE2D8E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7453F3" w:rsidRPr="00CE2D8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2D8E">
        <w:rPr>
          <w:rFonts w:ascii="Times New Roman" w:hAnsi="Times New Roman" w:cs="Times New Roman"/>
          <w:sz w:val="28"/>
          <w:szCs w:val="28"/>
          <w:lang w:eastAsia="ru-RU"/>
        </w:rPr>
        <w:t>электросиренами</w:t>
      </w:r>
      <w:proofErr w:type="spellEnd"/>
      <w:r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 ЭС-40.</w:t>
      </w:r>
    </w:p>
    <w:p w14:paraId="545D5F71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hAnsi="Times New Roman" w:cs="Times New Roman"/>
          <w:sz w:val="28"/>
          <w:szCs w:val="28"/>
          <w:lang w:eastAsia="ru-RU"/>
        </w:rPr>
        <w:t>в малых населенных пунктах – радиус 700 м;</w:t>
      </w:r>
    </w:p>
    <w:p w14:paraId="1D235722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hAnsi="Times New Roman" w:cs="Times New Roman"/>
          <w:sz w:val="28"/>
          <w:szCs w:val="28"/>
          <w:lang w:eastAsia="ru-RU"/>
        </w:rPr>
        <w:t>вблизи автомобильных дорог – радиус 500 м;</w:t>
      </w:r>
    </w:p>
    <w:p w14:paraId="6FD26819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hAnsi="Times New Roman" w:cs="Times New Roman"/>
          <w:sz w:val="28"/>
          <w:szCs w:val="28"/>
          <w:lang w:eastAsia="ru-RU"/>
        </w:rPr>
        <w:t>вблизи железной дороги – радиус 300 м;</w:t>
      </w:r>
    </w:p>
    <w:p w14:paraId="75F0827C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2D8E">
        <w:rPr>
          <w:rFonts w:ascii="Times New Roman" w:hAnsi="Times New Roman" w:cs="Times New Roman"/>
          <w:sz w:val="28"/>
          <w:szCs w:val="28"/>
          <w:lang w:eastAsia="ru-RU"/>
        </w:rPr>
        <w:t>в крупных городах (больше скопление автомобилей) – радиус 300 м.</w:t>
      </w:r>
    </w:p>
    <w:p w14:paraId="26CAD58C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</w:t>
      </w:r>
      <w:r w:rsidRPr="00CE2D8E">
        <w:rPr>
          <w:rFonts w:ascii="Times New Roman" w:hAnsi="Times New Roman" w:cs="Times New Roman"/>
          <w:sz w:val="28"/>
          <w:szCs w:val="28"/>
        </w:rPr>
        <w:t>.»;</w:t>
      </w:r>
    </w:p>
    <w:p w14:paraId="4E6F1122" w14:textId="77777777" w:rsidR="0013296B" w:rsidRPr="00CE2D8E" w:rsidRDefault="0013296B" w:rsidP="0013296B">
      <w:pPr>
        <w:pStyle w:val="a7"/>
        <w:widowControl w:val="0"/>
        <w:ind w:left="0" w:firstLine="709"/>
        <w:jc w:val="both"/>
        <w:rPr>
          <w:b w:val="0"/>
          <w:bCs w:val="0"/>
          <w:szCs w:val="28"/>
        </w:rPr>
      </w:pPr>
      <w:r w:rsidRPr="00CE2D8E">
        <w:rPr>
          <w:b w:val="0"/>
          <w:bCs w:val="0"/>
          <w:szCs w:val="28"/>
        </w:rPr>
        <w:t>д) подраздел «Градостроительные (проектные) ограничения (предложения)» подраздела 5.4.3 «Система оповещения о ЧС» подраздела 5.4 «Система оповещения населения о чрезвычайных ситуациях и система оповещения ГО»</w:t>
      </w:r>
      <w:r w:rsidRPr="00CE2D8E">
        <w:rPr>
          <w:szCs w:val="28"/>
        </w:rPr>
        <w:t xml:space="preserve"> </w:t>
      </w:r>
      <w:r w:rsidRPr="00CE2D8E">
        <w:rPr>
          <w:b w:val="0"/>
          <w:bCs w:val="0"/>
          <w:szCs w:val="28"/>
        </w:rPr>
        <w:t>изложить в следующей редакции:</w:t>
      </w:r>
    </w:p>
    <w:p w14:paraId="15F124D0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«Система оповещения руководящего состава, органов управления ГОЧС, населения и сил РСЧС должна обеспечить оперативное и своевременное доведение сигналов и информации о ЧС до:</w:t>
      </w:r>
    </w:p>
    <w:p w14:paraId="5F1E02C6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органов управления;</w:t>
      </w:r>
    </w:p>
    <w:p w14:paraId="1D5D3D26" w14:textId="77777777" w:rsidR="0013296B" w:rsidRPr="00CE2D8E" w:rsidRDefault="0013296B" w:rsidP="0013296B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руководящего состава, сил и средств муниципального звена РСЧС;</w:t>
      </w:r>
    </w:p>
    <w:p w14:paraId="1CFF9EC4" w14:textId="77777777" w:rsidR="0013296B" w:rsidRPr="00CE2D8E" w:rsidRDefault="0013296B" w:rsidP="0013296B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населения.</w:t>
      </w:r>
    </w:p>
    <w:p w14:paraId="157A9561" w14:textId="77777777" w:rsidR="0013296B" w:rsidRPr="00CE2D8E" w:rsidRDefault="0013296B" w:rsidP="0013296B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В том числе:</w:t>
      </w:r>
    </w:p>
    <w:p w14:paraId="1AC16B5B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прием сообщений из автоматизированной системы централизованного оповещения населения Курской области;</w:t>
      </w:r>
    </w:p>
    <w:p w14:paraId="09402F9E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 xml:space="preserve">подачу универсального сигнала «Внимание всем!» (в мирное время) и </w:t>
      </w:r>
      <w:r w:rsidRPr="00CE2D8E">
        <w:rPr>
          <w:rFonts w:ascii="Times New Roman" w:hAnsi="Times New Roman" w:cs="Times New Roman"/>
          <w:sz w:val="28"/>
          <w:szCs w:val="28"/>
        </w:rPr>
        <w:lastRenderedPageBreak/>
        <w:t xml:space="preserve">сигнала «Воздушная тревога!» (в военное время) с помощью </w:t>
      </w:r>
      <w:proofErr w:type="spellStart"/>
      <w:r w:rsidRPr="00CE2D8E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Pr="00CE2D8E">
        <w:rPr>
          <w:rFonts w:ascii="Times New Roman" w:hAnsi="Times New Roman" w:cs="Times New Roman"/>
          <w:sz w:val="28"/>
          <w:szCs w:val="28"/>
        </w:rPr>
        <w:t>, сигнально громкоговорящих установок, громкоговорителей.</w:t>
      </w:r>
    </w:p>
    <w:p w14:paraId="7E6F84A8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доведение информации до работающих на объектах экономики.</w:t>
      </w:r>
    </w:p>
    <w:p w14:paraId="17410D1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Радиотрансляционные сети городских округов и поселений должны иметь (по согласованию с территориальным органом федерального органа исполнительной власти, уполномоченного на решение задач в области гражданской обороны) требуемое по расчету число уличных громкоговорителей для внешнего оповещения населения.</w:t>
      </w:r>
    </w:p>
    <w:p w14:paraId="359F8F6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Организация оповещения жителей, не включенных в систему централизованного оповещения, может осуществляться патрульными машинами ОВД, оборудованные громкоговорящими устройствами, выделяемые по плану взаимодействия.</w:t>
      </w:r>
    </w:p>
    <w:p w14:paraId="454D6C2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bookmarkStart w:id="45" w:name="_Hlk97110450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Требуется проектирование и строительство системы оповещения ГО на территории сельсовета (сирена ЭС-40 или ВАУ) с включением в РАСЦО области через ЕДДС Курского района с учетом «Положения о системах оповещения населения, утвержденного совместным приказом МЧС России и </w:t>
      </w:r>
      <w:proofErr w:type="spellStart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Минцифры</w:t>
      </w:r>
      <w:proofErr w:type="spellEnd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России от 31.07.2020 № 578/365, в том числе с соблюдени</w:t>
      </w:r>
      <w:r w:rsidR="007453F3" w:rsidRPr="00CE2D8E">
        <w:rPr>
          <w:rFonts w:ascii="Times New Roman" w:eastAsia="Calibri" w:hAnsi="Times New Roman" w:cs="Times New Roman"/>
          <w:kern w:val="2"/>
          <w:sz w:val="28"/>
          <w:szCs w:val="28"/>
        </w:rPr>
        <w:t>ем требований следующих пунктов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СП 165.1325800.2014 «СНиП 2.01.51-90 Инженерно-технические мероприятия по гражданской обороне»:</w:t>
      </w:r>
    </w:p>
    <w:p w14:paraId="463A4F0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Для оповещения населения об опасностях, возникающих при ведении военных действий или вследствие этих действий, а также при чрезвычайных ситуациях должны быть созданы технические системы оповещения:</w:t>
      </w:r>
    </w:p>
    <w:p w14:paraId="45F5E6D4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федеральном уровне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федеральная система оповещения (на территории Российской Федерации);</w:t>
      </w:r>
    </w:p>
    <w:p w14:paraId="05A52A7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межрегиональном уровне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межрегиональная система оповещения (на территории федерального округа);</w:t>
      </w:r>
    </w:p>
    <w:p w14:paraId="2C5AA35F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региональном уровне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региональная система оповещения (на территории субъекта Российской Федерации);</w:t>
      </w:r>
    </w:p>
    <w:p w14:paraId="2C3A375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муниципальном уровне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местная система оповещения (на территории муниципального образования);</w:t>
      </w:r>
    </w:p>
    <w:p w14:paraId="50692D6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объектовом уровне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объектовые, на опасных производственных объектах классов опасности I и II, особо радиационно-опасных объектах, ядерно-опасных производственных объектах, гидротехнических сооружениях чрезвычайно высокой и высокой опасности, в случае, если последствия потенциальных аварий на указанных объектах могут выходить за пределы их территории и причинять вред жизни и здоровью населения, проживающего или осуществляющего хозяйственную деятельность в районах размещения этих объектов, - локальные системы оповещения, создаваемые в порядке, установленном законодательством Российской Федерации в области гражданской обороны и защиты населения и территорий от чрезвычайных ситуаций.</w:t>
      </w:r>
    </w:p>
    <w:p w14:paraId="6DFF1EA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Системы оповещения предназначены для:</w:t>
      </w:r>
    </w:p>
    <w:p w14:paraId="6F48F2B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доведения до органов управления и сил гражданской обороны сигналов (распоряжений) о введении установленных степеней готовности;</w:t>
      </w:r>
    </w:p>
    <w:p w14:paraId="5C9554D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циркулярного оповещения должностных лиц по служебным и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квартирным телефонам сети связи общего пользования и ведомственным сетям связи;</w:t>
      </w:r>
    </w:p>
    <w:p w14:paraId="67E492A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подачи универсального сигнала «Внимание всем!» (в мирное время) и сигнала «Воздушная тревога!» (в военное время) с помощью </w:t>
      </w:r>
      <w:proofErr w:type="spellStart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электросирен</w:t>
      </w:r>
      <w:proofErr w:type="spellEnd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, сигнально громкоговорящих установок, громкоговорителей и доведение сигналов и информации оповещения до населения и органов управления;</w:t>
      </w:r>
    </w:p>
    <w:p w14:paraId="46DABC4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переключения сетей проводного, теле- и радиовещания для передачи речевых сообщений и информирования населения с городских и загородных запасных пунктов управления.</w:t>
      </w:r>
    </w:p>
    <w:p w14:paraId="5075BEB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Для обеспечения надежного оповещения должно быть предусмотрено:</w:t>
      </w:r>
    </w:p>
    <w:p w14:paraId="5021706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управление системами с городского, загородного и подвижного пунктов управления (кроме объектовой системы оповещения);</w:t>
      </w:r>
    </w:p>
    <w:p w14:paraId="2DE2130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размещение центров (пунктов) управления оповещением в помещениях, защищенных от воздействия опасных факторов чрезвычайных ситуаций мирного и военного времени в соответствии с требованиями нормативных технических документов гражданской обороны;</w:t>
      </w:r>
    </w:p>
    <w:p w14:paraId="5500FE2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автономное (децентрализованное) управление муниципальными, локальными и объектовыми системами оповещения;</w:t>
      </w:r>
    </w:p>
    <w:p w14:paraId="2223461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прием и передача сигналов управления по территориально разнесенным каналам связи, в различных системах передачи;</w:t>
      </w:r>
    </w:p>
    <w:p w14:paraId="3E446FA4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размещение, используемых в интересах оповещения центров (студий) теле- и радиовещания, средств связи и аппаратуры оповещения, на запасных пунктах управления органов исполнительной власти субъектов Российской Федерации и организаций, разрабатываемых в соответствии с требованиями нормативных технических документов Главного управления специальных программ Президента Российской Федерации;</w:t>
      </w:r>
    </w:p>
    <w:p w14:paraId="627BC28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создание и использование запасов мобильных средств оповещения.</w:t>
      </w:r>
    </w:p>
    <w:p w14:paraId="40E216E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Требования к функциям (задачам), выполняемым системами оповещения</w:t>
      </w:r>
    </w:p>
    <w:p w14:paraId="3C9634D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Комплексы технических средств оповещения должны обеспечивать:</w:t>
      </w:r>
    </w:p>
    <w:p w14:paraId="69755B5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подготовку и хранение речевых и буквенно-цифровых сообщений, программ оповещения, вариантов (сценариев) и режимов запуска систем оповещения;</w:t>
      </w:r>
    </w:p>
    <w:p w14:paraId="563F016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формирование, передачу и прием информации оповещения (формализованных сигналов), речевых и буквенно-цифровых сообщений;</w:t>
      </w:r>
    </w:p>
    <w:p w14:paraId="4A24FD7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дистанционное управление средствами оповещения населения, должностных лиц и органов управления;</w:t>
      </w:r>
    </w:p>
    <w:p w14:paraId="081BC70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управление с не менее трех центров (пунктов) оповещения одного уровня в соответствии с установленной системой приоритетов;</w:t>
      </w:r>
    </w:p>
    <w:p w14:paraId="2CAEE50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взаимное уведомление центров (пунктов) оповещения одного уровня о задействовании сети оповещения;</w:t>
      </w:r>
    </w:p>
    <w:p w14:paraId="4C95320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приоритеты сигналам оповещения по отношению к работе пользователей отбираемого канала и вышестоящим инстанциям по отношению к нижестоящим;</w:t>
      </w:r>
    </w:p>
    <w:p w14:paraId="12AE2E3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документирование на электронном носителе и печатающем устройстве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ПЭВМ процесса оповещения и действий оперативного дежурного.</w:t>
      </w:r>
    </w:p>
    <w:p w14:paraId="3F3083E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Ввод информации в систему должен осуществляться:</w:t>
      </w:r>
    </w:p>
    <w:p w14:paraId="4340C8B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 ПЭВМ (пульта управления)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формализованных сигналов оповещения, заранее заготовленной или оперативно набираемой буквенно-цифровой информации, предварительно заготовленной речевой информации;</w:t>
      </w:r>
    </w:p>
    <w:p w14:paraId="2760531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 микрофона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оперативной речевой информации.</w:t>
      </w:r>
    </w:p>
    <w:p w14:paraId="355F9D6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Адресование информации в системе:</w:t>
      </w:r>
    </w:p>
    <w:p w14:paraId="302727C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циркулярное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всем абонентам системы;</w:t>
      </w:r>
    </w:p>
    <w:p w14:paraId="692ECF1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программное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по заранее заготовленным спискам;</w:t>
      </w:r>
    </w:p>
    <w:p w14:paraId="43CAB91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избирательное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пределах одной ступени;</w:t>
      </w:r>
    </w:p>
    <w:p w14:paraId="532B48C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избирательное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через ступень.</w:t>
      </w:r>
    </w:p>
    <w:p w14:paraId="3E93AE3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всех вариантах адресования должен быть обеспечен сбор:</w:t>
      </w:r>
    </w:p>
    <w:p w14:paraId="428F6F7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автоматических подтверждений приема сигнала - на одну ступень в каждом направлении;</w:t>
      </w:r>
    </w:p>
    <w:p w14:paraId="13B3E8E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ручных подтверждений:</w:t>
      </w:r>
    </w:p>
    <w:p w14:paraId="77FA69A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одну ступень;</w:t>
      </w:r>
    </w:p>
    <w:p w14:paraId="5CB47BB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через одну ступень.</w:t>
      </w:r>
    </w:p>
    <w:p w14:paraId="12FC11E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Способы обмена информацией со взаимодействующими органами управления при оповещении должны быть организованы в автоматическом, автоматизированном и ручном режимах.</w:t>
      </w:r>
    </w:p>
    <w:p w14:paraId="6B47714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Создание и совершенствование системы оповещения населения должны осуществлять:</w:t>
      </w:r>
    </w:p>
    <w:p w14:paraId="2ED1B0FF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базе комплексов технических средств оповещения, разработанных под контролем федерального органа исполнительной власти, осуществляющего государственную политику в области гражданской обороны и уполномоченного на решение задач в области гражданской обороны, прошедших в установленном порядке приемочные испытания и принятых к серийному производству на территории Российской Федерации;</w:t>
      </w:r>
    </w:p>
    <w:p w14:paraId="3D7FF86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 учетом развития сетей и систем связи, сетей теле- и радиовещания.</w:t>
      </w:r>
    </w:p>
    <w:p w14:paraId="7168A7F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Все подсистемы систем оповещения населения должны сопрягаться на программно-аппаратном уровне.</w:t>
      </w:r>
    </w:p>
    <w:p w14:paraId="5700527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Сопряжение систем оповещения населения вышестоящего уровня с системами оповещения населения нижестоящего уровня является обязательством вышестоящего постоянно действующего органа управления Единой государственной системы предупреждения и ликвидации чрезвычайных ситуаций, кроме систем оповещения объектового уровня. Техническое и программное сопряжение объектовых систем оповещения с региональной системой оповещения является обязательством собственника объекта.</w:t>
      </w:r>
    </w:p>
    <w:p w14:paraId="4268B82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 мирное время системы оповещения могут использоваться в целях реализации задач по защите населения и территорий от чрезвычайных ситуаций природного и техногенного характера.</w:t>
      </w:r>
    </w:p>
    <w:p w14:paraId="466DCC5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Диагностирование состояния технических средств оповещения в системе должно обеспечиваться:</w:t>
      </w:r>
    </w:p>
    <w:p w14:paraId="7D442DF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автоматическим контролем состояния с использованием встроенных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программно-технических средств - не реже одного раза в 30 мин;</w:t>
      </w:r>
    </w:p>
    <w:p w14:paraId="3BA373A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передачей контрольных (тестовых) сообщений как </w:t>
      </w:r>
      <w:proofErr w:type="spellStart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циркулярно</w:t>
      </w:r>
      <w:proofErr w:type="spellEnd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по всей сети, так и выборочно по установленному в ходе эксплуатации графику, но не реже одного раза в сутки.</w:t>
      </w:r>
    </w:p>
    <w:p w14:paraId="0899C13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федеральном и межрегиональных уровнях система оповещения должна обладать встроенными аппаратно-программными средствами </w:t>
      </w:r>
      <w:proofErr w:type="spellStart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имитозащиты</w:t>
      </w:r>
      <w:proofErr w:type="spellEnd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передаваемых сигналов оповещения по классу стойкости не ниже 2.</w:t>
      </w:r>
    </w:p>
    <w:p w14:paraId="0D9711A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федеральном и межрегиональных уровнях информацию должны передавать по формату и порядку передаваемых сигналов и формализованных сообщений в соответствии с применяемым алгоритмом по защите информации.</w:t>
      </w:r>
    </w:p>
    <w:p w14:paraId="778C50D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Требования к информационному обеспечению</w:t>
      </w:r>
    </w:p>
    <w:p w14:paraId="5D060B8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Основой информационного обеспечения системы оповещения населения должны быть территориально-разнесенные базы данных и специальное программное обеспечение, включающие в себя информацию об элементах системы, порядке установления связи, оповещаемых абонентах, исполнительных устройствах своего и подчиненных уровней управления с использованием единых классификаторов объектов, свойств и признаков для описания всех информационных ресурсов.</w:t>
      </w:r>
    </w:p>
    <w:p w14:paraId="4BF5994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этом также должны выполнять следующие требования:</w:t>
      </w:r>
    </w:p>
    <w:p w14:paraId="2805309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состав, структура и способы организации данных должны обеспечивать наличие всех необходимых учетных реквизитов объектов оповещения, разделение информации по категориям и независимость представления данных об объектах оповещения от других функциональных подсистем;</w:t>
      </w:r>
    </w:p>
    <w:p w14:paraId="6A2548B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информационный обмен между компонентами системы должен быть обеспечен средствами межведомственной сети связи и передачи данных с гарантированной доставкой команд управления и сообщений (информации) абоненту или центру (пункту) оповещения;</w:t>
      </w:r>
    </w:p>
    <w:p w14:paraId="3362D7F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информационном взаимодействии со смежными системами должна быть обеспечена полная автономность программных и аппаратных средств системы оповещения, независимость подсистемы приема/отправки команд и информации оповещения от изменения категории информации, способов хранения и режима работы (автоматическом или ручном).</w:t>
      </w:r>
    </w:p>
    <w:p w14:paraId="7202F504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Технические средства систем оповещения на объектах должны быть размещены в специально выделенном помещении (помещениях) с ограниченным доступом и оснащенных сигнализацией, выведенной на рабочее место дежурного персонала.</w:t>
      </w:r>
    </w:p>
    <w:p w14:paraId="767E8AB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Требования по сохранности информации при авариях</w:t>
      </w:r>
    </w:p>
    <w:p w14:paraId="6F9BAC6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Сохранность информации в системах должна обеспечиваться при отключении электропитания, отказах отдельных элементов технических средств оповещения и авариях на сетях связи.</w:t>
      </w:r>
    </w:p>
    <w:p w14:paraId="4231A7E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Требования к стандартизации и унификации программных средств, применяемых в системах оповещения и информирования населения, должны быть обеспечены за счет применения унифицированных компонентов и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средств из состава:</w:t>
      </w:r>
    </w:p>
    <w:p w14:paraId="0602796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общего и базового программного обеспечения;</w:t>
      </w:r>
    </w:p>
    <w:p w14:paraId="27F8E26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систем управления базами данных;</w:t>
      </w:r>
    </w:p>
    <w:p w14:paraId="1213404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сетевых операционных систем;</w:t>
      </w:r>
    </w:p>
    <w:p w14:paraId="07966F24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стандартизованных для алфавитно-цифровых и графических интерфейсов.</w:t>
      </w:r>
    </w:p>
    <w:p w14:paraId="31326F2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Стандартизацию и унификацию технических средств оповещения должны обеспечивать посредством применения серийно выпускаемых средств вычислительной техники и коммуникационного оборудования повышенной надежности, используемого в </w:t>
      </w:r>
      <w:proofErr w:type="spellStart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мультисервисных</w:t>
      </w:r>
      <w:proofErr w:type="spellEnd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сетях связи нового поколения. Должна быть предусмотрена унификация аппаратуры по комплектным изделиям и элементам их технического сопряжения.</w:t>
      </w:r>
    </w:p>
    <w:p w14:paraId="76DEF20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Системы оповещения должны удовлетворять следующим требованиям:</w:t>
      </w:r>
    </w:p>
    <w:p w14:paraId="61F8B01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автоматическом способе передачи время прохождения сигналов на направлении оповещения не должно быть более:</w:t>
      </w:r>
    </w:p>
    <w:p w14:paraId="1C894F2F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80 сек. с вероятностью 0,95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системе;</w:t>
      </w:r>
    </w:p>
    <w:p w14:paraId="5AAF813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30 сек. с вероятностью 0,95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федеральном звене;</w:t>
      </w:r>
    </w:p>
    <w:p w14:paraId="19FCC4D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30 сек. с вероятностью 0,95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межрегиональном звене;</w:t>
      </w:r>
    </w:p>
    <w:p w14:paraId="111940B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12 сек. с вероятностью 0,95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региональном (территориальном) звене;</w:t>
      </w:r>
    </w:p>
    <w:p w14:paraId="10D515B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8 сек. с вероятностью 0,95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местном звене.</w:t>
      </w:r>
    </w:p>
    <w:p w14:paraId="59AF91E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При автоматизированном способе передачи информации допустимое время на прием, обработку и передачу сигналов оповещения и управления не должно превышать 60 сек. с вероятностью 0,95 в каждом звене оповещения.</w:t>
      </w:r>
    </w:p>
    <w:p w14:paraId="3F7E3FF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Вероятность ошибки при приеме сигналов на направлении оповещения не должна превышать:</w:t>
      </w:r>
    </w:p>
    <w:p w14:paraId="69698F4B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системе;</w:t>
      </w:r>
    </w:p>
    <w:p w14:paraId="11AB2DE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федеральном звене;</w:t>
      </w:r>
    </w:p>
    <w:p w14:paraId="6F0CC1D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межрегиональном звене;</w:t>
      </w:r>
    </w:p>
    <w:p w14:paraId="57756DE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10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региональном (территориальном) звене.</w:t>
      </w:r>
    </w:p>
    <w:p w14:paraId="4F055F0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Разборчивость слов при передаче информации должна быть не менее 93 % в каждом звене оповещения.</w:t>
      </w:r>
    </w:p>
    <w:p w14:paraId="1C1B66E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Система оповещения должна обеспечивать передачу сообщений и сигналов в подчиненные органы управления и силы гражданской обороны при всех воздействующих факторах военного времени с вероятностью не ниже 0,95 для федерального и межрегионального звеньев управления, 0,9 - для регионального звена управления и 0,85 - для муниципального и объектового звеньев управления.</w:t>
      </w:r>
    </w:p>
    <w:p w14:paraId="6247CA8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Коэффициент готовности, характеризующий способность системы оповещения немедленно приступить к передаче сигналов и информации оповещения органам управления и силам гражданской обороны в любой обстановке, в целом должен быть не менее 0,994, в федеральном звене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0,99999; в межрегиональном звене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0,9999; в региональном (территориальном звене)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0,999; в местном звене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0,995. </w:t>
      </w:r>
    </w:p>
    <w:p w14:paraId="7731FE6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Достоверность приема речевой информации должна соответствовать второму классу качества:</w:t>
      </w:r>
    </w:p>
    <w:p w14:paraId="53FA83D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1) слоговая разборчивость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хуже 75 %;</w:t>
      </w:r>
    </w:p>
    <w:p w14:paraId="4CA0029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2) словесная разборчивость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хуже 97 %.</w:t>
      </w:r>
    </w:p>
    <w:p w14:paraId="3190BCB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Надежность системы оповещения должна составлять не менее 12 лет непрерывной работы;</w:t>
      </w:r>
    </w:p>
    <w:p w14:paraId="18A3979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Управляемость системой оповещения должна обеспечивать изменение своего состояния в заданных пределах при воздействиях на нее органов управления связью и оповещения в соответствии с изменениями обстановки в условиях военного времени.</w:t>
      </w:r>
    </w:p>
    <w:p w14:paraId="56FC162F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Требования по надежности и ее составляющим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безотказности, долговечности, ремонтопригодности, сохраняемости:</w:t>
      </w:r>
    </w:p>
    <w:p w14:paraId="1FEBF31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средняя наработка на отказ изделия должна составлять не менее 10000 ч;</w:t>
      </w:r>
    </w:p>
    <w:p w14:paraId="39D9E0BF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среднее время восстановления работоспособного состояния средства связи и оповещения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более 30 мин с учетом замены неисправного блока и без учета времени на доставку;</w:t>
      </w:r>
    </w:p>
    <w:p w14:paraId="768FD0FB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средний срок сохраняемости средств связи и оповещения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12 лет при хранении его в условиях отапливаемых и неотапливаемых хранилищ с температурой воздуха от минус 40 °С до плюс 40 °С и относительной влажностью воздуха – 80 %;</w:t>
      </w:r>
    </w:p>
    <w:p w14:paraId="065125F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средний срок службы составных частей средств связи и оповещения до списания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12 лет;</w:t>
      </w:r>
    </w:p>
    <w:p w14:paraId="722A6D70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средний ресурс составных частей средства связи и оповещения до первого капитального ремонта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10000 ч.</w:t>
      </w:r>
    </w:p>
    <w:p w14:paraId="60B5536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Подвижные подсистемы системы оповещения населения следует размещать на транспортных средствах повышенной готовности и проходимости.</w:t>
      </w:r>
    </w:p>
    <w:p w14:paraId="274E729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Электропитание технических средств оповещения следует осуществлять от сети гарантированного электропитания, в том числе от источников автономного питания.</w:t>
      </w:r>
    </w:p>
    <w:p w14:paraId="078FA7BD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Сети вещания операторов связи должны обеспечивать централизованную передачу населению сигналов оповещения и информации, формируемых комплексами технических средств оповещения.</w:t>
      </w:r>
    </w:p>
    <w:p w14:paraId="2D22A1B4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Проектирование локальных систем оповещения, объектовых систем оповещения, а также систем оповещения городских и сельских поселений и их техническое сопряжение с региональной автоматизированной системой централизованного оповещения на основе сети проводного радиовещания следует осуществлять в соответствии с СП 133.13330.2012 «Сети проводного радиовещания и оповещения в зданиях и сооружениях. Нормы проектирования».</w:t>
      </w:r>
    </w:p>
    <w:p w14:paraId="24A2380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Для осуществления приема, обработки и передачи аудио- и (или) аудиовизуальных, а также иных сообщений об угрозе возникновения, о возникновении чрезвычайных ситуаций и правилах поведения населения создают специализированные технические средства оповещения и информирования населения в местах массового пребывания людей (далее - специализированные технические средства).</w:t>
      </w:r>
    </w:p>
    <w:p w14:paraId="7E4C42E0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Специализированные технические средства должны удовлетворять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следующим требованиям.</w:t>
      </w:r>
    </w:p>
    <w:p w14:paraId="4EAE7F83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 не должны:</w:t>
      </w:r>
    </w:p>
    <w:p w14:paraId="175EB36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влиять на безопасность дорожного движения;</w:t>
      </w:r>
    </w:p>
    <w:p w14:paraId="27158F6C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ограничивать видимость как в направлении движения, так и боковую (в том числе ограничивать видимость технических средств организации дорожного движения или мешать их восприятию участниками дорожного движения);</w:t>
      </w:r>
    </w:p>
    <w:p w14:paraId="012BF8A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снижать прочность, устойчивость и надежность конструкций, зданий и сооружений, на которых они размещены;</w:t>
      </w:r>
    </w:p>
    <w:p w14:paraId="0EEDFC8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создавать помехи для прохода пешеходов и механизированной уборки дорог;</w:t>
      </w:r>
    </w:p>
    <w:p w14:paraId="5AFD77D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быть установлены в местах, где их размещение и эксплуатация может наносить ущерб природному комплексу, иметь сходство по внешнему виду, изображению, звуковому эффекту с техническими средствами организации дорожного движения и специальными сигналами, создавать впечатление нахождения на дороге пешеходов, транспортных средств, животных, других предметов.</w:t>
      </w:r>
    </w:p>
    <w:p w14:paraId="48EAA22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средства, располагаемые внутри помещений, следует устанавливать в местах наибольшего пребывания людей (залы ожидания, вестибюли, основные входы и выходы из помещений и т.п.) в соответствии с СП 133.13330.2012 «Сети проводного радиовещания и оповещения в зданиях и сооружениях. Нормы проектирования» и СП 134.13330.2012 «Системы электросвязи зданий и сооружений. Основные положения проектирования».</w:t>
      </w:r>
    </w:p>
    <w:p w14:paraId="6C5B485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средства, располагаемые вне помещений, не должны размещаться:</w:t>
      </w:r>
    </w:p>
    <w:p w14:paraId="04F34F2F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одной опоре с дорожными знаками, светофорами, в створе и в одном сечении с ними;</w:t>
      </w:r>
    </w:p>
    <w:p w14:paraId="0531714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аварийно-опасных участках дорог, железнодорожных переездах, мостовых сооружениях, в туннелях и под путепроводами, а также на расстоянии менее 350 м от них вне населенных пунктов и менее 50 м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пунктах;</w:t>
      </w:r>
    </w:p>
    <w:p w14:paraId="54D2806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участках дорог с высотой насыпи земляного полотна более 2 м;</w:t>
      </w:r>
    </w:p>
    <w:p w14:paraId="2A95260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над проезжей частью;</w:t>
      </w:r>
    </w:p>
    <w:p w14:paraId="36E05A8B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дорожных ограждениях;</w:t>
      </w:r>
    </w:p>
    <w:p w14:paraId="57FE605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деревьях, скалах и других природных объектах;</w:t>
      </w:r>
    </w:p>
    <w:p w14:paraId="54C294E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участках дорог с расстоянием видимости менее 350 м вне населенных пунктов и менее 150 м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пунктах;</w:t>
      </w:r>
    </w:p>
    <w:p w14:paraId="47D7AE6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ближе 25 м от остановок маршрутных транспортных средств;</w:t>
      </w:r>
    </w:p>
    <w:p w14:paraId="384A4D48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пешеходных переходах и пересечениях автомобильных дорог на одном уровне, а также на расстоянии менее 150 м от них вне населенных пунктов и менее 50 м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пунктах.</w:t>
      </w:r>
    </w:p>
    <w:p w14:paraId="15838EE9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сбоку от дороги на расстоянии менее 10 м от бровки земляного полотна дороги (бордюрного камня) вне населенных пунктов и менее 5 м </w:t>
      </w:r>
      <w:r w:rsidRPr="00CE2D8E">
        <w:rPr>
          <w:rFonts w:ascii="Times New Roman" w:hAnsi="Times New Roman" w:cs="Times New Roman"/>
          <w:sz w:val="28"/>
          <w:szCs w:val="28"/>
        </w:rPr>
        <w:t>–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населенных пунктах.</w:t>
      </w:r>
    </w:p>
    <w:p w14:paraId="730E4C9E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При размещении специализированных технических средств на разделительной полосе расстояние от края конструкции или опоры до края проезжей части должно составлять не менее 2,5 м.</w:t>
      </w:r>
    </w:p>
    <w:p w14:paraId="069E50A6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Специализированные технические средства должны оснащать:</w:t>
      </w:r>
    </w:p>
    <w:p w14:paraId="02889E8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системой пожаротушения и системой аварийного отключения от электропитания;</w:t>
      </w:r>
    </w:p>
    <w:p w14:paraId="4E36CA6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табло с указанием (идентификацией) эксплуатирующей организации.</w:t>
      </w:r>
    </w:p>
    <w:p w14:paraId="26FED890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Опоры отдельно стоящих специализированных технических средств должны быть изготовлены из материалов, обеспечивающих достаточную устойчивость при ветровой нагрузке и эксплуатации.</w:t>
      </w:r>
    </w:p>
    <w:p w14:paraId="19C6D752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Фундаменты отдельно стоящих специализированных технических средств не должны выступать над уровнем земли или тротуара. В исключительных случаях, когда заглубление фундамента невозможно, допускается размещение фундаментов без заглубления при наличии бортового камня или дорожных ограждений.</w:t>
      </w:r>
    </w:p>
    <w:p w14:paraId="7C3F1171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Объекты электросвязи и радиовещания (радиотрансляционные сети)</w:t>
      </w:r>
    </w:p>
    <w:p w14:paraId="1A8D2625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Магистральные кабельные линии связи и магистральные радиорелейные линии связи следует прокладывать вне зон возможных разрушений.</w:t>
      </w:r>
    </w:p>
    <w:p w14:paraId="33FD2A4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Трассы магистральных кабельных линий связи следует проводить также вне зон вероятного катастрофического затопления.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кабелей, избегая устройства в этой зоне усилительных (регенерационных) пунктов.</w:t>
      </w:r>
    </w:p>
    <w:p w14:paraId="124C325A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оперативно-технического управления сети общего пользования единой системы электросвязи.</w:t>
      </w:r>
    </w:p>
    <w:p w14:paraId="10345587" w14:textId="77777777" w:rsidR="0013296B" w:rsidRPr="00CE2D8E" w:rsidRDefault="0013296B" w:rsidP="001329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Радиотрансляционные сети городских округов и поселений должны иметь (по согласованию с территориальным органом федерального органа исполнительной власти, уполномоченного на решение задач в области гражданской обороны) требуемое по расчету число уличных громкоговорителей для внешнего оповещения населения.</w:t>
      </w:r>
      <w:bookmarkEnd w:id="45"/>
      <w:r w:rsidRPr="00CE2D8E">
        <w:rPr>
          <w:rFonts w:ascii="Times New Roman" w:hAnsi="Times New Roman" w:cs="Times New Roman"/>
          <w:sz w:val="28"/>
          <w:szCs w:val="28"/>
        </w:rPr>
        <w:t>»;</w:t>
      </w:r>
    </w:p>
    <w:p w14:paraId="42C1E3AD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е) подраздел 5.5 «Проведение эвакуационных мероприятий в чрезвычайных ситуациях и при проведении мероприятий ГО»:</w:t>
      </w:r>
    </w:p>
    <w:p w14:paraId="23483034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14:paraId="236DF1E4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«Эвакуация населения Лебяженского сельсовета в случае радиационной аварии на Курской АЭС не предусматривается.</w:t>
      </w:r>
    </w:p>
    <w:p w14:paraId="4BE577BE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На территорию Лебяженского сельсовета, расположенную вне зоны возможных опасностей, предусматривается размещение эвакуируемого населения с территории Курской области, расположенной в зоне возможных опасностей.</w:t>
      </w:r>
    </w:p>
    <w:p w14:paraId="3D2F8B8A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Сбор эвакуируемых предусматривается по месту жительства. Адреса </w:t>
      </w:r>
      <w:r w:rsidRPr="00CE2D8E">
        <w:rPr>
          <w:rFonts w:ascii="Times New Roman" w:eastAsia="Calibri" w:hAnsi="Times New Roman" w:cs="Times New Roman"/>
          <w:bCs/>
          <w:kern w:val="2"/>
          <w:sz w:val="28"/>
          <w:szCs w:val="28"/>
        </w:rPr>
        <w:lastRenderedPageBreak/>
        <w:t>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сельсовета.»;</w:t>
      </w:r>
    </w:p>
    <w:p w14:paraId="64090CF7" w14:textId="77777777" w:rsidR="0013296B" w:rsidRPr="00CE2D8E" w:rsidRDefault="0013296B" w:rsidP="0013296B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абзацы четвертый – седьмой изложить в следующей редакции:</w:t>
      </w:r>
    </w:p>
    <w:p w14:paraId="4A4345C8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Cs/>
          <w:kern w:val="2"/>
          <w:sz w:val="28"/>
          <w:szCs w:val="28"/>
        </w:rPr>
        <w:t>«В пределах рассматриваемой территории эвакуация населения в случае чрезвычайных ситуаций проводится: всеми видами транспорта независимо от форм собственности (автомобильным и железнодорожным), с одновременным выводом населения пешим порядком.</w:t>
      </w:r>
    </w:p>
    <w:p w14:paraId="11D8F2A2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bCs/>
          <w:kern w:val="2"/>
          <w:sz w:val="28"/>
          <w:szCs w:val="28"/>
        </w:rPr>
        <w:t>При планировании мероприятий по эвакуации населения в безопасные районы необходимо руководствоваться положениями постановления Правительства Российской Федерации от 22.06.2004 № 303ДСП «О порядке эвакуации населения, материальных и культурных ценностей в безопасные районы», а также распоряжением Администрации Курской области от 29.05.2017 № 248-раДСП «Об организации эвакуации населения, материальных и культурных ценностей Курской области в безопасные районы».»;</w:t>
      </w:r>
    </w:p>
    <w:p w14:paraId="4AE0F6AF" w14:textId="77777777" w:rsidR="0013296B" w:rsidRPr="00CE2D8E" w:rsidRDefault="0013296B" w:rsidP="0013296B">
      <w:pPr>
        <w:pStyle w:val="a7"/>
        <w:widowControl w:val="0"/>
        <w:ind w:left="0" w:firstLine="720"/>
        <w:jc w:val="both"/>
        <w:rPr>
          <w:b w:val="0"/>
          <w:szCs w:val="28"/>
        </w:rPr>
      </w:pPr>
      <w:bookmarkStart w:id="46" w:name="_Hlk98854275"/>
      <w:r w:rsidRPr="00CE2D8E">
        <w:rPr>
          <w:b w:val="0"/>
          <w:szCs w:val="28"/>
        </w:rPr>
        <w:t xml:space="preserve">ж) подраздел 5.7 «Световая маскировка» </w:t>
      </w:r>
      <w:r w:rsidRPr="00CE2D8E">
        <w:rPr>
          <w:b w:val="0"/>
          <w:bCs w:val="0"/>
          <w:szCs w:val="28"/>
        </w:rPr>
        <w:t>изложить в следующей редакции:</w:t>
      </w:r>
    </w:p>
    <w:p w14:paraId="33647C81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«К объектам и территориям могут быть применены следующие виды маскировочных мероприятий:</w:t>
      </w:r>
    </w:p>
    <w:p w14:paraId="31092E0A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световая маскировка – осуществляют в населенных пунктах, расположенных на приграничной территории, и на отдельно расположенных объектах капитального строительства, указанных в пункте 1.1 СП 165.1325800.2014 «СНиП 2.01.51-90 Инженерно-технические мероприятия по гражданской обороне», если эти населенные пункты и объекты рассматриваются органами военного управления как вероятные цели поражения на территории Российской Федерации;</w:t>
      </w:r>
    </w:p>
    <w:p w14:paraId="483812EB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световая маскировка, скрытие, имитация, а также демонстративные действия – проводят на территориях, отнесенных к группам по гражданской обороне и в населенных пунктах с расположенными на их территориях организациями, отнесенными к категориям по гражданской обороне, предусматривают маскировку объектов организаций и инфраструктуры населенных пунктов при проведении как определенных мероприятий по гражданской обороне, так и с целью обеспечения защиты объектов, продолжающих работу (функционирование) в военное время, если они являются вероятными целями поражения в военное время. Основное предназначение – противодействие их обнаружению, ведению целеуказания и выводу их из строя, а также недопущение срыва сроков выполнения мероприятий по гражданской обороне;</w:t>
      </w:r>
    </w:p>
    <w:p w14:paraId="2A3AA0AE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комплексная маскировка территорий – проводят в зонах вероятного пролета средств доставки и средств поражения к целям (объектам вероятного поражения), основное предназначение – изменение (скрытие и создание ложных) ориентирных указателей территорий, осуществляют в целях снижения точности наведения средств доставки и поражения на цели;</w:t>
      </w:r>
    </w:p>
    <w:p w14:paraId="26330EDA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комплексная маскировка организаций – проводят на территориях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организаций, продолжающих свою деятельность в период мобилизации и военное время, прилегающих к ним территориях, а также на территориях организаций, обеспечивающих жизнедеятельность территорий, отнесенных к группам по гражданской обороне, и предусматривает весь комплекс маскировочных мероприятий, обеспечивающих снижение демаскирующих параметров объектов и прилегающих ориентирных указателей территорий (в оптическом, радиолокационном, тепловом (инфракрасном) спектрах, снижение параметров упругих колебаний и гравитации объектов, а также мероприятий по ввозу или вывозу людей, оборудования и материалов).</w:t>
      </w:r>
    </w:p>
    <w:p w14:paraId="0FCD7A4B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На территориях, не входящих в зону маскировки объектов и территорий, и в организациях, прекращающих свою деятельность в военное время, заблаговременно осуществляются только организационные мероприятия по обеспечению отключения наружного освещения населенных пунктов и организаций, внутреннего освещения жилых, общественных, производственных и вспомогательных зданий, а также организационные мероприятия по подготовке и обеспечению световой маскировки производственных огней при подаче сигнала «Воздушная тревога».</w:t>
      </w:r>
    </w:p>
    <w:p w14:paraId="58D95275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основании положений СП 165.1325800.2014 «СНиП 2.01.51-90 Инженерно-технические мероприятия по гражданской обороне» территория Донского сельсовета попадает в зону световой маскировки для минимизации последствий воздействия источников ЧС военного характера. </w:t>
      </w:r>
    </w:p>
    <w:p w14:paraId="243D29B9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Обеспечение светомаскировки объекта в соответствии с требованиями СП 264.1325800.2016 «СНиП 2.01.53-84 Световая маскировка населенных пунктов и объектов народного хозяйства»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5976622A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Технические решения по световой маскировке должны быть приняты в соответствии с требованиями СП 264.1325800.2016 «СНиП 2.01.53-84 Световая маскировка населенных пунктов и объектов народного хозяйства», СП 165.1325800.2014 «СНиП 2.01.51-90 Инженерно-технические мероприятия по гражданской обороне» и ПУЭ, утвержденными Минэнерго Российской Федерации.</w:t>
      </w:r>
    </w:p>
    <w:p w14:paraId="2DA0DBCC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Режим частичного затемнения вводится уполномоченными органами исполнительной власти Российской Федерации на весь угрожаемый период и отменяется при миновании угрозы нападения противника. Режим частичного затемнения после его введения действует постоянно, кроме времени действия режима полного затемнения.</w:t>
      </w:r>
    </w:p>
    <w:p w14:paraId="0F1CE23A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 режиме частичного затемнения осуществляется сокращение наружного освещения на 50 %. </w:t>
      </w:r>
    </w:p>
    <w:p w14:paraId="621F78A0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Транспорт, а также средства регулирования его движения, </w:t>
      </w:r>
      <w:proofErr w:type="spellStart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>светоограждение</w:t>
      </w:r>
      <w:proofErr w:type="spellEnd"/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аэронавигационных препятствий в режиме частичного затемнения светомаскировке не подлежат.</w:t>
      </w:r>
    </w:p>
    <w:p w14:paraId="6C637CBF" w14:textId="77777777" w:rsidR="0013296B" w:rsidRPr="00CE2D8E" w:rsidRDefault="0013296B" w:rsidP="001329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t xml:space="preserve">Режим полного затемнения вводится по сигналу «Воздушная тревога» и отменяется с объявлением сигнала «Отбой воздушной тревоги». Переход с режима частичного затемнения на режим полного затемнения должен </w:t>
      </w:r>
      <w:r w:rsidRPr="00CE2D8E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осуществляться не более чем за 3 мин.»;</w:t>
      </w:r>
    </w:p>
    <w:p w14:paraId="3FB5976F" w14:textId="77777777" w:rsidR="0013296B" w:rsidRPr="00CE2D8E" w:rsidRDefault="0013296B" w:rsidP="0013296B">
      <w:pPr>
        <w:pStyle w:val="a7"/>
        <w:widowControl w:val="0"/>
        <w:ind w:left="0" w:firstLine="709"/>
        <w:jc w:val="both"/>
        <w:rPr>
          <w:b w:val="0"/>
          <w:szCs w:val="28"/>
        </w:rPr>
      </w:pPr>
      <w:r w:rsidRPr="00CE2D8E">
        <w:rPr>
          <w:b w:val="0"/>
          <w:szCs w:val="28"/>
        </w:rPr>
        <w:t>5) раздел 6 «Перечень мероприятий по обеспечению пожарной безопасности»:</w:t>
      </w:r>
    </w:p>
    <w:bookmarkEnd w:id="46"/>
    <w:p w14:paraId="347F5478" w14:textId="77777777" w:rsidR="0013296B" w:rsidRPr="00CE2D8E" w:rsidRDefault="0013296B" w:rsidP="0013296B">
      <w:pPr>
        <w:pStyle w:val="a7"/>
        <w:widowControl w:val="0"/>
        <w:ind w:left="0" w:firstLine="720"/>
        <w:jc w:val="both"/>
        <w:rPr>
          <w:b w:val="0"/>
          <w:bCs w:val="0"/>
          <w:szCs w:val="28"/>
        </w:rPr>
      </w:pPr>
      <w:r w:rsidRPr="00CE2D8E">
        <w:rPr>
          <w:b w:val="0"/>
          <w:bCs w:val="0"/>
          <w:szCs w:val="28"/>
        </w:rPr>
        <w:t xml:space="preserve">а) подраздел «Противопожарное водоснабжение» подраздела 6.1 «Выполнение требований по обеспечению пожарной безопасности» дополнить абзацем третьим следующего содержания: </w:t>
      </w:r>
    </w:p>
    <w:p w14:paraId="13D83C97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«Источниками наружного и внутреннего пожарного водоснабжения на территории Лебяженского сельсовета служат: 28 пожарных гидрантов, 14 водонапорных башен»;</w:t>
      </w:r>
    </w:p>
    <w:p w14:paraId="69991AC9" w14:textId="77777777" w:rsidR="0013296B" w:rsidRPr="00CE2D8E" w:rsidRDefault="0013296B" w:rsidP="0013296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б) подраздел «Размещение подразделений пожарной охраны» подраздела 6.1 «Перечень мероприятий по обеспечению пожарной безопасности» изложить в следующей редакции:</w:t>
      </w:r>
    </w:p>
    <w:p w14:paraId="31A5781F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</w:rPr>
        <w:t>«</w:t>
      </w:r>
      <w:r w:rsidRPr="00CE2D8E">
        <w:rPr>
          <w:rFonts w:ascii="Times New Roman" w:eastAsia="Calibri" w:hAnsi="Times New Roman" w:cs="Times New Roman"/>
          <w:sz w:val="28"/>
          <w:szCs w:val="28"/>
        </w:rPr>
        <w:t xml:space="preserve">Для тушения пожаров на территории Лебяженского сельсовета Курского района привлекаются следующие подразделения: </w:t>
      </w:r>
    </w:p>
    <w:p w14:paraId="33FE14B4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 xml:space="preserve">32 пожарная часть Курского района ОКУ «ППС Курской области», расположенная по адресу: Курский район, с. Беседино, </w:t>
      </w:r>
      <w:r w:rsidRPr="00CE2D8E">
        <w:rPr>
          <w:rFonts w:ascii="Times New Roman" w:hAnsi="Times New Roman" w:cs="Times New Roman"/>
          <w:color w:val="000000"/>
          <w:sz w:val="28"/>
          <w:szCs w:val="28"/>
        </w:rPr>
        <w:br/>
        <w:t>ул. Центральная, 55;</w:t>
      </w:r>
    </w:p>
    <w:p w14:paraId="356D1642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>6 пожарно-спасательная часть пожарно-спасательного отряда федеральной-противопожарной службы Государственной противопожарной службы Главного управления МЧС России по Курской области (далее - ПСЧ ПСО ФПС ГПС ГУ МЧС России по Курской области), расположенная по адресу: г. Курск, ул. Энергетиков, д. 4;</w:t>
      </w:r>
    </w:p>
    <w:p w14:paraId="34FBA5CA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>5 ПСЧ ПСО ФПС ГПС ГУ МЧС России по Курской области, расположенная по адресу: г. Курск, ул. 2-я Рабочая, д. 18 б;</w:t>
      </w:r>
    </w:p>
    <w:p w14:paraId="3513F89F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>2 ПСЧ ПСО ФПС ГПС ГУ МЧС России по Курской области, расположенная по адресу: г. Курск, ул. Радищева, д. 79;</w:t>
      </w:r>
    </w:p>
    <w:p w14:paraId="5A35B51E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 xml:space="preserve">4 ПСЧ ПСО ФПС ГПС ГУ МЧС России по Курской области, расположенная по адресу: г. Курск, ул. </w:t>
      </w:r>
      <w:proofErr w:type="spellStart"/>
      <w:r w:rsidRPr="00CE2D8E">
        <w:rPr>
          <w:rFonts w:ascii="Times New Roman" w:hAnsi="Times New Roman" w:cs="Times New Roman"/>
          <w:color w:val="000000"/>
          <w:sz w:val="28"/>
          <w:szCs w:val="28"/>
        </w:rPr>
        <w:t>Можаевская</w:t>
      </w:r>
      <w:proofErr w:type="spellEnd"/>
      <w:r w:rsidRPr="00CE2D8E">
        <w:rPr>
          <w:rFonts w:ascii="Times New Roman" w:hAnsi="Times New Roman" w:cs="Times New Roman"/>
          <w:color w:val="000000"/>
          <w:sz w:val="28"/>
          <w:szCs w:val="28"/>
        </w:rPr>
        <w:t>, д. 9;</w:t>
      </w:r>
    </w:p>
    <w:p w14:paraId="59721311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>20 пожарная часть ОКУ «ППС Курской области» расположенная по адресу: г. Курск, ул. Ольшанского, д. 6;</w:t>
      </w:r>
    </w:p>
    <w:p w14:paraId="085264D9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>1 специализированная пожарно-спасательная часть по тушению крупных пожаров ПСО ФПС ГПС ГУ МЧС России по Курской области, расположенная по адресу: г. Курск, ул. 50 лет Октября, 116 б;</w:t>
      </w:r>
    </w:p>
    <w:p w14:paraId="5BF37AFF" w14:textId="77777777" w:rsidR="0013296B" w:rsidRPr="00CE2D8E" w:rsidRDefault="0013296B" w:rsidP="0013296B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D8E">
        <w:rPr>
          <w:rFonts w:ascii="Times New Roman" w:hAnsi="Times New Roman" w:cs="Times New Roman"/>
          <w:color w:val="000000"/>
          <w:sz w:val="28"/>
          <w:szCs w:val="28"/>
        </w:rPr>
        <w:t>ОКУ «АСС Курской области», расположенное по адресу: г. Курск, ул. 50 лет Октября, 177.»;</w:t>
      </w:r>
    </w:p>
    <w:p w14:paraId="26C2823F" w14:textId="77777777" w:rsidR="0013296B" w:rsidRPr="00CE2D8E" w:rsidRDefault="0013296B" w:rsidP="00132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8E">
        <w:rPr>
          <w:rFonts w:ascii="Times New Roman" w:hAnsi="Times New Roman" w:cs="Times New Roman"/>
          <w:sz w:val="28"/>
          <w:szCs w:val="28"/>
          <w:lang w:eastAsia="ru-RU"/>
        </w:rPr>
        <w:t xml:space="preserve">в) абзац второй подраздела «Размещение подразделений пожарной охраны» </w:t>
      </w:r>
      <w:r w:rsidRPr="00CE2D8E">
        <w:rPr>
          <w:rFonts w:ascii="Times New Roman" w:hAnsi="Times New Roman" w:cs="Times New Roman"/>
          <w:sz w:val="28"/>
          <w:szCs w:val="28"/>
        </w:rPr>
        <w:t>подраздела 6.2 «</w:t>
      </w:r>
      <w:r w:rsidRPr="00CE2D8E">
        <w:rPr>
          <w:rFonts w:ascii="Times New Roman" w:hAnsi="Times New Roman" w:cs="Times New Roman"/>
          <w:bCs/>
          <w:sz w:val="28"/>
          <w:szCs w:val="28"/>
        </w:rPr>
        <w:t>Проектные предложения (требования) и градостроительные решения»</w:t>
      </w:r>
      <w:r w:rsidRPr="00CE2D8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0F0B7D29" w14:textId="77777777" w:rsidR="0013296B" w:rsidRPr="00BF0618" w:rsidRDefault="0013296B" w:rsidP="0013296B">
      <w:pPr>
        <w:widowControl w:val="0"/>
        <w:tabs>
          <w:tab w:val="left" w:pos="1134"/>
        </w:tabs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CE2D8E">
        <w:rPr>
          <w:rFonts w:ascii="Times New Roman" w:eastAsia="Calibri" w:hAnsi="Times New Roman" w:cs="Times New Roman"/>
          <w:sz w:val="28"/>
          <w:szCs w:val="28"/>
        </w:rPr>
        <w:t>«Нормативное время прибытия подразделений пожарной охраны, на сегодняшний день, не установлено, так как нормативный документ, на основании которого определяется время следования мобильных средств пожаротушения из ближайшего пожарного депо, отсутствует.».</w:t>
      </w:r>
      <w:bookmarkEnd w:id="39"/>
      <w:bookmarkEnd w:id="41"/>
      <w:bookmarkEnd w:id="42"/>
      <w:r w:rsidRPr="00BF0618">
        <w:rPr>
          <w:b/>
          <w:sz w:val="28"/>
          <w:szCs w:val="28"/>
        </w:rPr>
        <w:t xml:space="preserve"> </w:t>
      </w:r>
    </w:p>
    <w:p w14:paraId="46CD524E" w14:textId="77777777" w:rsidR="00A42CB4" w:rsidRPr="0013296B" w:rsidRDefault="00A42CB4">
      <w:pPr>
        <w:rPr>
          <w:rFonts w:ascii="Times New Roman" w:hAnsi="Times New Roman" w:cs="Times New Roman"/>
          <w:sz w:val="28"/>
        </w:rPr>
      </w:pPr>
    </w:p>
    <w:sectPr w:rsidR="00A42CB4" w:rsidRPr="0013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3EF"/>
    <w:rsid w:val="0013296B"/>
    <w:rsid w:val="001B7464"/>
    <w:rsid w:val="007453F3"/>
    <w:rsid w:val="009268DC"/>
    <w:rsid w:val="00A42CB4"/>
    <w:rsid w:val="00CE2D8E"/>
    <w:rsid w:val="00E1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7EC0"/>
  <w15:chartTrackingRefBased/>
  <w15:docId w15:val="{103319A3-3A6D-44A1-B67A-D723C6E5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3296B"/>
    <w:pPr>
      <w:ind w:left="720"/>
      <w:contextualSpacing/>
    </w:pPr>
  </w:style>
  <w:style w:type="paragraph" w:styleId="a5">
    <w:name w:val="Plain Text"/>
    <w:basedOn w:val="a"/>
    <w:link w:val="a6"/>
    <w:rsid w:val="001329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3296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13296B"/>
    <w:pPr>
      <w:spacing w:after="0" w:line="240" w:lineRule="auto"/>
      <w:ind w:left="94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329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32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3296B"/>
    <w:rPr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13296B"/>
  </w:style>
  <w:style w:type="paragraph" w:styleId="HTML">
    <w:name w:val="HTML Preformatted"/>
    <w:basedOn w:val="a"/>
    <w:link w:val="HTML0"/>
    <w:rsid w:val="00132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3296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</Pages>
  <Words>7656</Words>
  <Characters>43645</Characters>
  <Application>Microsoft Office Word</Application>
  <DocSecurity>0</DocSecurity>
  <Lines>363</Lines>
  <Paragraphs>102</Paragraphs>
  <ScaleCrop>false</ScaleCrop>
  <Company/>
  <LinksUpToDate>false</LinksUpToDate>
  <CharactersWithSpaces>51199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ОБУ ИНФОГРАД</cp:lastModifiedBy>
  <cp:revision>6</cp:revision>
  <dcterms:created xsi:type="dcterms:W3CDTF">2022-08-29T14:42:00Z</dcterms:created>
  <dcterms:modified xsi:type="dcterms:W3CDTF">2022-09-02T13:50:00Z</dcterms:modified>
</cp:coreProperties>
</file>